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188C44E4" w:rsidR="000830E3" w:rsidRDefault="008303BA" w:rsidP="008303BA">
      <w:pPr>
        <w:pStyle w:val="Pagedecouverture"/>
        <w:rPr>
          <w:noProof/>
        </w:rPr>
      </w:pPr>
      <w:bookmarkStart w:id="0" w:name="LW_BM_COVERPAGE"/>
      <w:r>
        <w:rPr>
          <w:noProof/>
        </w:rPr>
        <w:pict w14:anchorId="39FFA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4DE811-3F03-4466-91C1-9235C67A2E23" style="width:455.25pt;height:548.25pt">
            <v:imagedata r:id="rId15" o:title=""/>
          </v:shape>
        </w:pict>
      </w:r>
    </w:p>
    <w:bookmarkEnd w:id="0"/>
    <w:p w14:paraId="2BAF3ADB" w14:textId="77777777" w:rsidR="000830E3" w:rsidRDefault="000830E3" w:rsidP="000830E3">
      <w:pPr>
        <w:rPr>
          <w:noProof/>
        </w:rPr>
        <w:sectPr w:rsidR="000830E3" w:rsidSect="008303BA">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501A6CDA" w14:textId="77777777" w:rsidR="001D33E1" w:rsidRPr="00230D53" w:rsidRDefault="001D33E1" w:rsidP="001D33E1">
      <w:pPr>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1" w:name="_GoBack"/>
      <w:bookmarkEnd w:id="1"/>
      <w:r w:rsidRPr="00230D53">
        <w:rPr>
          <w:b/>
          <w:smallCaps/>
          <w:noProof/>
          <w:szCs w:val="24"/>
          <w:u w:val="single"/>
          <w:lang w:eastAsia="en-GB"/>
        </w:rPr>
        <w:lastRenderedPageBreak/>
        <w:t>Abstract</w:t>
      </w:r>
    </w:p>
    <w:p w14:paraId="20CEB439" w14:textId="7D34DD1B" w:rsidR="001D33E1" w:rsidRPr="00230D53" w:rsidRDefault="001D33E1" w:rsidP="001D33E1">
      <w:pPr>
        <w:pBdr>
          <w:top w:val="single" w:sz="4" w:space="1" w:color="auto"/>
          <w:left w:val="single" w:sz="4" w:space="4" w:color="auto"/>
          <w:bottom w:val="single" w:sz="4" w:space="17" w:color="auto"/>
          <w:right w:val="single" w:sz="4" w:space="4" w:color="auto"/>
        </w:pBdr>
        <w:rPr>
          <w:noProof/>
          <w:lang w:eastAsia="en-GB"/>
        </w:rPr>
      </w:pPr>
      <w:r w:rsidRPr="00230D53">
        <w:rPr>
          <w:noProof/>
          <w:lang w:eastAsia="en-GB"/>
        </w:rPr>
        <w:t xml:space="preserve">In Slovenia, the justice system saw extensive reform, with the new Judges Act transferring the power to appoint Supreme Court judges from Parliament to the Judicial Council </w:t>
      </w:r>
      <w:r w:rsidR="000D01CC">
        <w:rPr>
          <w:noProof/>
          <w:lang w:eastAsia="en-GB"/>
        </w:rPr>
        <w:t>whic</w:t>
      </w:r>
      <w:r w:rsidR="00D75064">
        <w:rPr>
          <w:noProof/>
          <w:lang w:eastAsia="en-GB"/>
        </w:rPr>
        <w:t>h</w:t>
      </w:r>
      <w:r w:rsidR="00FF2A4E">
        <w:rPr>
          <w:noProof/>
          <w:lang w:eastAsia="en-GB"/>
        </w:rPr>
        <w:t xml:space="preserve">, </w:t>
      </w:r>
      <w:r w:rsidR="00D75064">
        <w:rPr>
          <w:noProof/>
          <w:lang w:eastAsia="en-GB"/>
        </w:rPr>
        <w:t>along</w:t>
      </w:r>
      <w:r w:rsidR="00FF2A4E">
        <w:rPr>
          <w:noProof/>
          <w:lang w:eastAsia="en-GB"/>
        </w:rPr>
        <w:t xml:space="preserve"> with </w:t>
      </w:r>
      <w:r w:rsidR="00C6275A">
        <w:rPr>
          <w:noProof/>
          <w:lang w:eastAsia="en-GB"/>
        </w:rPr>
        <w:t>amendments to the Judicial Council Act,</w:t>
      </w:r>
      <w:r w:rsidRPr="00230D53">
        <w:rPr>
          <w:noProof/>
          <w:lang w:eastAsia="en-GB"/>
        </w:rPr>
        <w:t xml:space="preserve"> </w:t>
      </w:r>
      <w:r w:rsidR="00C6275A">
        <w:rPr>
          <w:noProof/>
          <w:lang w:eastAsia="en-GB"/>
        </w:rPr>
        <w:t>refined</w:t>
      </w:r>
      <w:r w:rsidR="00C6275A" w:rsidRPr="00230D53">
        <w:rPr>
          <w:noProof/>
          <w:lang w:eastAsia="en-GB"/>
        </w:rPr>
        <w:t xml:space="preserve"> </w:t>
      </w:r>
      <w:r w:rsidRPr="00230D53">
        <w:rPr>
          <w:noProof/>
          <w:lang w:eastAsia="en-GB"/>
        </w:rPr>
        <w:t xml:space="preserve">safeguards on judicial independence. Additionally, the amendments to the Judicial Council Act and the new Judges Act overhauled the disciplinary framework for judges, and the new Courts Act introduced a reform of the judicial map. </w:t>
      </w:r>
      <w:r w:rsidRPr="00E865D9">
        <w:rPr>
          <w:noProof/>
          <w:lang w:eastAsia="en-GB"/>
        </w:rPr>
        <w:t>Efforts continued</w:t>
      </w:r>
      <w:r w:rsidRPr="00230D53">
        <w:rPr>
          <w:noProof/>
          <w:lang w:eastAsia="en-GB"/>
        </w:rPr>
        <w:t xml:space="preserve"> to strengthen protection measures for judges and </w:t>
      </w:r>
      <w:r>
        <w:rPr>
          <w:noProof/>
          <w:lang w:eastAsia="en-GB"/>
        </w:rPr>
        <w:t>s</w:t>
      </w:r>
      <w:r w:rsidRPr="00230D53">
        <w:rPr>
          <w:noProof/>
          <w:lang w:eastAsia="en-GB"/>
        </w:rPr>
        <w:t xml:space="preserve">tate prosecutors. Digitalisation of the workflow in courts continued, including by introducing new electronic communication tools. </w:t>
      </w:r>
      <w:r w:rsidRPr="004435C6">
        <w:rPr>
          <w:noProof/>
          <w:lang w:eastAsia="en-GB"/>
        </w:rPr>
        <w:t xml:space="preserve">While the </w:t>
      </w:r>
      <w:r w:rsidRPr="00230D53">
        <w:rPr>
          <w:noProof/>
          <w:lang w:eastAsia="en-GB"/>
        </w:rPr>
        <w:t xml:space="preserve">number of resolved cases </w:t>
      </w:r>
      <w:r w:rsidRPr="004435C6">
        <w:rPr>
          <w:noProof/>
          <w:lang w:eastAsia="en-GB"/>
        </w:rPr>
        <w:t>remained broadly stable, the overall backlog</w:t>
      </w:r>
      <w:r w:rsidRPr="00230D53">
        <w:rPr>
          <w:noProof/>
          <w:lang w:eastAsia="en-GB"/>
        </w:rPr>
        <w:t xml:space="preserve"> further increased. The length of trials remains a challenge, particularly in money laundering and corruption cases.</w:t>
      </w:r>
      <w:r>
        <w:rPr>
          <w:noProof/>
          <w:lang w:eastAsia="en-GB"/>
        </w:rPr>
        <w:t xml:space="preserve"> </w:t>
      </w:r>
      <w:r w:rsidRPr="00230D53">
        <w:rPr>
          <w:noProof/>
          <w:lang w:eastAsia="en-GB"/>
        </w:rPr>
        <w:t>The measures to address the Constitutional Court’s considerable caseload have contributed to a significant reduction in backlog.</w:t>
      </w:r>
    </w:p>
    <w:p w14:paraId="34E4BE0F" w14:textId="1E519D83" w:rsidR="001D33E1" w:rsidRPr="00230D53" w:rsidRDefault="001D33E1" w:rsidP="001D33E1">
      <w:pPr>
        <w:pBdr>
          <w:top w:val="single" w:sz="4" w:space="1" w:color="auto"/>
          <w:left w:val="single" w:sz="4" w:space="4" w:color="auto"/>
          <w:bottom w:val="single" w:sz="4" w:space="17" w:color="auto"/>
          <w:right w:val="single" w:sz="4" w:space="4" w:color="auto"/>
        </w:pBdr>
        <w:spacing w:after="0"/>
        <w:rPr>
          <w:noProof/>
          <w:lang w:eastAsia="en-GB"/>
        </w:rPr>
      </w:pPr>
      <w:r w:rsidRPr="00F32590">
        <w:rPr>
          <w:noProof/>
          <w:szCs w:val="24"/>
          <w:lang w:eastAsia="fr-FR"/>
        </w:rPr>
        <w:t xml:space="preserve">The implementation of the Resolution on the Prevention of Corruption, the national anti-corruption strategy, and its </w:t>
      </w:r>
      <w:r w:rsidR="00654241">
        <w:rPr>
          <w:noProof/>
          <w:szCs w:val="24"/>
          <w:lang w:eastAsia="fr-FR"/>
        </w:rPr>
        <w:t xml:space="preserve">2025-2030 </w:t>
      </w:r>
      <w:r w:rsidRPr="00F32590">
        <w:rPr>
          <w:noProof/>
          <w:szCs w:val="24"/>
          <w:lang w:eastAsia="fr-FR"/>
        </w:rPr>
        <w:t xml:space="preserve">Action Plan is ongoing. </w:t>
      </w:r>
      <w:r w:rsidRPr="00F61595">
        <w:rPr>
          <w:bCs/>
          <w:noProof/>
          <w:szCs w:val="24"/>
        </w:rPr>
        <w:t>While some efforts are ongoing</w:t>
      </w:r>
      <w:r w:rsidRPr="00F61595">
        <w:rPr>
          <w:bCs/>
          <w:noProof/>
        </w:rPr>
        <w:t xml:space="preserve"> </w:t>
      </w:r>
      <w:r w:rsidRPr="00F61595">
        <w:rPr>
          <w:bCs/>
          <w:noProof/>
          <w:szCs w:val="24"/>
        </w:rPr>
        <w:t xml:space="preserve">to strengthen capacities of state prosecution offices, </w:t>
      </w:r>
      <w:r>
        <w:rPr>
          <w:bCs/>
          <w:noProof/>
          <w:szCs w:val="24"/>
          <w:lang w:eastAsia="fr-FR"/>
        </w:rPr>
        <w:t>l</w:t>
      </w:r>
      <w:r w:rsidRPr="00F61595">
        <w:rPr>
          <w:bCs/>
          <w:noProof/>
          <w:szCs w:val="24"/>
          <w:lang w:eastAsia="fr-FR"/>
        </w:rPr>
        <w:t>i</w:t>
      </w:r>
      <w:r w:rsidRPr="00227370">
        <w:rPr>
          <w:noProof/>
          <w:szCs w:val="24"/>
          <w:lang w:eastAsia="fr-FR"/>
        </w:rPr>
        <w:t xml:space="preserve">mited </w:t>
      </w:r>
      <w:r>
        <w:rPr>
          <w:noProof/>
          <w:szCs w:val="24"/>
          <w:lang w:eastAsia="fr-FR"/>
        </w:rPr>
        <w:t>further steps were made</w:t>
      </w:r>
      <w:r w:rsidRPr="00227370">
        <w:rPr>
          <w:noProof/>
          <w:szCs w:val="24"/>
          <w:lang w:eastAsia="fr-FR"/>
        </w:rPr>
        <w:t xml:space="preserve"> to ensure a track record of investigations, prosecutions and final judgments in corruption offences</w:t>
      </w:r>
      <w:r>
        <w:rPr>
          <w:noProof/>
          <w:szCs w:val="24"/>
          <w:lang w:eastAsia="fr-FR"/>
        </w:rPr>
        <w:t xml:space="preserve">. </w:t>
      </w:r>
      <w:r w:rsidRPr="00230D53">
        <w:rPr>
          <w:noProof/>
          <w:lang w:eastAsia="fr-FR"/>
        </w:rPr>
        <w:t xml:space="preserve">While its resources remained stable, the Commission for the Prevention of Corruption (CPC) </w:t>
      </w:r>
      <w:r w:rsidRPr="00F32590">
        <w:rPr>
          <w:noProof/>
          <w:szCs w:val="24"/>
          <w:lang w:eastAsia="fr-FR"/>
        </w:rPr>
        <w:t xml:space="preserve">reported attempts to undermine its credibility. </w:t>
      </w:r>
      <w:r w:rsidRPr="00230D53">
        <w:rPr>
          <w:noProof/>
          <w:szCs w:val="24"/>
          <w:lang w:eastAsia="fr-FR"/>
        </w:rPr>
        <w:t xml:space="preserve">The new Public Employees Act of July 2025 unified the regulation of conflicts of interest for all public officials. </w:t>
      </w:r>
      <w:r w:rsidRPr="000107A0">
        <w:rPr>
          <w:noProof/>
          <w:szCs w:val="24"/>
          <w:lang w:eastAsia="fr-FR"/>
        </w:rPr>
        <w:t>The CPC continue</w:t>
      </w:r>
      <w:r>
        <w:rPr>
          <w:noProof/>
          <w:szCs w:val="24"/>
          <w:lang w:eastAsia="fr-FR"/>
        </w:rPr>
        <w:t>d</w:t>
      </w:r>
      <w:r w:rsidRPr="000107A0">
        <w:rPr>
          <w:noProof/>
          <w:szCs w:val="24"/>
          <w:lang w:eastAsia="fr-FR"/>
        </w:rPr>
        <w:t xml:space="preserve"> to underline the low reporting levels of lobbying contacts</w:t>
      </w:r>
      <w:r>
        <w:rPr>
          <w:noProof/>
          <w:szCs w:val="24"/>
          <w:lang w:eastAsia="fr-FR"/>
        </w:rPr>
        <w:t>.</w:t>
      </w:r>
      <w:r w:rsidRPr="000107A0">
        <w:rPr>
          <w:noProof/>
          <w:szCs w:val="24"/>
          <w:lang w:eastAsia="fr-FR"/>
        </w:rPr>
        <w:t xml:space="preserve"> </w:t>
      </w:r>
      <w:r w:rsidRPr="00F32590">
        <w:rPr>
          <w:noProof/>
          <w:szCs w:val="24"/>
          <w:lang w:eastAsia="fr-FR"/>
        </w:rPr>
        <w:t xml:space="preserve">The CPC issued recommendations to tackle risks related to the transfer of </w:t>
      </w:r>
      <w:r>
        <w:rPr>
          <w:noProof/>
          <w:szCs w:val="24"/>
          <w:lang w:eastAsia="fr-FR"/>
        </w:rPr>
        <w:t>s</w:t>
      </w:r>
      <w:r w:rsidRPr="00230D53">
        <w:rPr>
          <w:noProof/>
          <w:szCs w:val="24"/>
          <w:lang w:eastAsia="fr-FR"/>
        </w:rPr>
        <w:t>tate officials to publicly owned companies</w:t>
      </w:r>
      <w:r w:rsidRPr="00F32590">
        <w:rPr>
          <w:noProof/>
          <w:szCs w:val="24"/>
          <w:lang w:eastAsia="fr-FR"/>
        </w:rPr>
        <w:t xml:space="preserve">. The number of whistleblowers who have been granted a protection status increased in 2025, </w:t>
      </w:r>
      <w:r>
        <w:rPr>
          <w:noProof/>
          <w:szCs w:val="24"/>
          <w:lang w:eastAsia="fr-FR"/>
        </w:rPr>
        <w:t>indicating</w:t>
      </w:r>
      <w:r w:rsidRPr="00F32590">
        <w:rPr>
          <w:noProof/>
          <w:szCs w:val="24"/>
          <w:lang w:eastAsia="fr-FR"/>
        </w:rPr>
        <w:t xml:space="preserve"> </w:t>
      </w:r>
      <w:r>
        <w:rPr>
          <w:noProof/>
          <w:szCs w:val="24"/>
          <w:lang w:eastAsia="fr-FR"/>
        </w:rPr>
        <w:t>increased</w:t>
      </w:r>
      <w:r w:rsidRPr="00F32590">
        <w:rPr>
          <w:noProof/>
          <w:szCs w:val="24"/>
          <w:lang w:eastAsia="fr-FR"/>
        </w:rPr>
        <w:t xml:space="preserve"> awareness of the law and the protection it provides. Large infrastructure projects </w:t>
      </w:r>
      <w:r>
        <w:rPr>
          <w:noProof/>
          <w:szCs w:val="24"/>
          <w:lang w:eastAsia="fr-FR"/>
        </w:rPr>
        <w:t>and the health sector</w:t>
      </w:r>
      <w:r w:rsidRPr="00F32590">
        <w:rPr>
          <w:noProof/>
          <w:szCs w:val="24"/>
          <w:lang w:eastAsia="fr-FR"/>
        </w:rPr>
        <w:t xml:space="preserve"> are </w:t>
      </w:r>
      <w:r>
        <w:rPr>
          <w:noProof/>
          <w:szCs w:val="24"/>
          <w:lang w:eastAsia="fr-FR"/>
        </w:rPr>
        <w:t>among the</w:t>
      </w:r>
      <w:r w:rsidRPr="00F32590">
        <w:rPr>
          <w:noProof/>
          <w:szCs w:val="24"/>
          <w:lang w:eastAsia="fr-FR"/>
        </w:rPr>
        <w:t xml:space="preserve"> high-risk area</w:t>
      </w:r>
      <w:r>
        <w:rPr>
          <w:noProof/>
          <w:szCs w:val="24"/>
          <w:lang w:eastAsia="fr-FR"/>
        </w:rPr>
        <w:t>s</w:t>
      </w:r>
      <w:r w:rsidRPr="00F32590">
        <w:rPr>
          <w:noProof/>
          <w:szCs w:val="24"/>
          <w:lang w:eastAsia="fr-FR"/>
        </w:rPr>
        <w:t>.</w:t>
      </w:r>
    </w:p>
    <w:p w14:paraId="465C06A3" w14:textId="77777777" w:rsidR="001D33E1" w:rsidRPr="00230D53" w:rsidRDefault="001D33E1" w:rsidP="001D33E1">
      <w:pPr>
        <w:pBdr>
          <w:top w:val="single" w:sz="4" w:space="1" w:color="auto"/>
          <w:left w:val="single" w:sz="4" w:space="4" w:color="auto"/>
          <w:bottom w:val="single" w:sz="4" w:space="17" w:color="auto"/>
          <w:right w:val="single" w:sz="4" w:space="4" w:color="auto"/>
        </w:pBdr>
        <w:spacing w:after="0"/>
        <w:rPr>
          <w:noProof/>
          <w:lang w:eastAsia="en-GB"/>
        </w:rPr>
      </w:pPr>
    </w:p>
    <w:p w14:paraId="5377761A" w14:textId="24861CC6" w:rsidR="001D33E1" w:rsidRDefault="001D33E1" w:rsidP="001D33E1">
      <w:pPr>
        <w:pBdr>
          <w:top w:val="single" w:sz="4" w:space="1" w:color="auto"/>
          <w:left w:val="single" w:sz="4" w:space="4" w:color="auto"/>
          <w:bottom w:val="single" w:sz="4" w:space="17" w:color="auto"/>
          <w:right w:val="single" w:sz="4" w:space="4" w:color="auto"/>
        </w:pBdr>
        <w:spacing w:after="0"/>
        <w:rPr>
          <w:noProof/>
          <w:lang w:eastAsia="en-GB"/>
        </w:rPr>
      </w:pPr>
      <w:r w:rsidRPr="28AAA014">
        <w:rPr>
          <w:noProof/>
          <w:lang w:eastAsia="en-GB"/>
        </w:rPr>
        <w:t xml:space="preserve">The media regulator generally remains independent, while concerns persist regarding its human and financial resources. </w:t>
      </w:r>
      <w:r w:rsidRPr="00084FA7">
        <w:rPr>
          <w:noProof/>
          <w:lang w:eastAsia="en-GB"/>
        </w:rPr>
        <w:t xml:space="preserve">The financial challenges of the </w:t>
      </w:r>
      <w:r>
        <w:rPr>
          <w:noProof/>
          <w:lang w:eastAsia="en-GB"/>
        </w:rPr>
        <w:t xml:space="preserve">Slovenian </w:t>
      </w:r>
      <w:r w:rsidRPr="00084FA7">
        <w:rPr>
          <w:noProof/>
          <w:lang w:eastAsia="en-GB"/>
        </w:rPr>
        <w:t xml:space="preserve">Press Agency were addressed, while some limited steps were taken to improve the financial situation of </w:t>
      </w:r>
      <w:r>
        <w:rPr>
          <w:noProof/>
          <w:lang w:eastAsia="en-GB"/>
        </w:rPr>
        <w:t>public broadcaster</w:t>
      </w:r>
      <w:r w:rsidRPr="00084FA7">
        <w:rPr>
          <w:noProof/>
          <w:lang w:eastAsia="en-GB"/>
        </w:rPr>
        <w:t>.</w:t>
      </w:r>
      <w:r>
        <w:rPr>
          <w:noProof/>
          <w:lang w:eastAsia="en-GB"/>
        </w:rPr>
        <w:t xml:space="preserve"> </w:t>
      </w:r>
      <w:r w:rsidRPr="28AAA014">
        <w:rPr>
          <w:noProof/>
          <w:lang w:eastAsia="en-GB"/>
        </w:rPr>
        <w:t>While the media market remains concentrated, reforms were introduced to improve</w:t>
      </w:r>
      <w:r>
        <w:rPr>
          <w:noProof/>
          <w:lang w:eastAsia="en-GB"/>
        </w:rPr>
        <w:t xml:space="preserve"> its transparency and functioning. </w:t>
      </w:r>
      <w:r w:rsidRPr="28AAA014">
        <w:rPr>
          <w:noProof/>
          <w:lang w:eastAsia="en-GB"/>
        </w:rPr>
        <w:t xml:space="preserve">The framework for accessing official information remained favourable, but journalists </w:t>
      </w:r>
      <w:r>
        <w:rPr>
          <w:noProof/>
          <w:lang w:eastAsia="en-GB"/>
        </w:rPr>
        <w:t>report</w:t>
      </w:r>
      <w:r w:rsidRPr="28AAA014">
        <w:rPr>
          <w:noProof/>
          <w:lang w:eastAsia="en-GB"/>
        </w:rPr>
        <w:t xml:space="preserve"> </w:t>
      </w:r>
      <w:r>
        <w:rPr>
          <w:noProof/>
          <w:lang w:eastAsia="en-GB"/>
        </w:rPr>
        <w:t xml:space="preserve">some </w:t>
      </w:r>
      <w:r w:rsidRPr="28AAA014">
        <w:rPr>
          <w:noProof/>
          <w:lang w:eastAsia="en-GB"/>
        </w:rPr>
        <w:t xml:space="preserve">obstacles in </w:t>
      </w:r>
      <w:r>
        <w:rPr>
          <w:noProof/>
          <w:lang w:eastAsia="en-GB"/>
        </w:rPr>
        <w:t>practice</w:t>
      </w:r>
      <w:r w:rsidRPr="28AAA014">
        <w:rPr>
          <w:noProof/>
          <w:lang w:eastAsia="en-GB"/>
        </w:rPr>
        <w:t xml:space="preserve">. Journalists highlighted persistent difficult working conditions, </w:t>
      </w:r>
      <w:r w:rsidRPr="00955B6C">
        <w:rPr>
          <w:noProof/>
          <w:lang w:eastAsia="en-GB"/>
        </w:rPr>
        <w:t xml:space="preserve">while efforts to strengthen their profession and introduce self-regulation </w:t>
      </w:r>
      <w:r w:rsidRPr="009B6299">
        <w:rPr>
          <w:noProof/>
          <w:lang w:eastAsia="en-GB"/>
        </w:rPr>
        <w:t xml:space="preserve">continued. </w:t>
      </w:r>
      <w:r w:rsidRPr="009B6299">
        <w:rPr>
          <w:noProof/>
        </w:rPr>
        <w:t xml:space="preserve">Some further steps were made to improve the protection of journalists, while </w:t>
      </w:r>
      <w:r w:rsidRPr="009B6299" w:rsidDel="00423D26">
        <w:rPr>
          <w:noProof/>
        </w:rPr>
        <w:t>challenges remain pending the practical application of new laws</w:t>
      </w:r>
      <w:r w:rsidDel="00423D26">
        <w:rPr>
          <w:noProof/>
        </w:rPr>
        <w:t>.</w:t>
      </w:r>
    </w:p>
    <w:p w14:paraId="28FAA9F3" w14:textId="77777777" w:rsidR="001D33E1" w:rsidRPr="00230D53" w:rsidRDefault="001D33E1" w:rsidP="001D33E1">
      <w:pPr>
        <w:pBdr>
          <w:top w:val="single" w:sz="4" w:space="1" w:color="auto"/>
          <w:left w:val="single" w:sz="4" w:space="4" w:color="auto"/>
          <w:bottom w:val="single" w:sz="4" w:space="17" w:color="auto"/>
          <w:right w:val="single" w:sz="4" w:space="4" w:color="auto"/>
        </w:pBdr>
        <w:spacing w:after="0"/>
        <w:rPr>
          <w:noProof/>
          <w:lang w:eastAsia="en-GB"/>
        </w:rPr>
      </w:pPr>
    </w:p>
    <w:p w14:paraId="33569556" w14:textId="36AA2038" w:rsidR="001D33E1" w:rsidRPr="00230D53" w:rsidRDefault="001D33E1" w:rsidP="001D33E1">
      <w:pPr>
        <w:pBdr>
          <w:top w:val="single" w:sz="4" w:space="1" w:color="auto"/>
          <w:left w:val="single" w:sz="4" w:space="4" w:color="auto"/>
          <w:bottom w:val="single" w:sz="4" w:space="17" w:color="auto"/>
          <w:right w:val="single" w:sz="4" w:space="4" w:color="auto"/>
        </w:pBdr>
        <w:rPr>
          <w:noProof/>
          <w:lang w:eastAsia="en-GB"/>
        </w:rPr>
      </w:pPr>
      <w:r w:rsidRPr="008135E0">
        <w:rPr>
          <w:noProof/>
          <w:lang w:eastAsia="en-GB"/>
        </w:rPr>
        <w:t xml:space="preserve">The Ombudsperson continued responding to an important number of complaints. </w:t>
      </w:r>
      <w:r w:rsidRPr="00230D53">
        <w:rPr>
          <w:noProof/>
          <w:lang w:eastAsia="en-GB"/>
        </w:rPr>
        <w:t xml:space="preserve">The environment for civil society organisations remained favourable and the </w:t>
      </w:r>
      <w:r w:rsidR="001A5D54">
        <w:rPr>
          <w:noProof/>
          <w:lang w:eastAsia="en-GB"/>
        </w:rPr>
        <w:t xml:space="preserve">former </w:t>
      </w:r>
      <w:r w:rsidRPr="00230D53">
        <w:rPr>
          <w:noProof/>
          <w:lang w:eastAsia="en-GB"/>
        </w:rPr>
        <w:t>Government adopted two framework strategies in this area.</w:t>
      </w:r>
      <w:r w:rsidRPr="00230D53">
        <w:rPr>
          <w:noProof/>
          <w:lang w:eastAsia="en-GB"/>
        </w:rPr>
        <w:br w:type="page"/>
      </w:r>
    </w:p>
    <w:p w14:paraId="016553D4" w14:textId="77777777" w:rsidR="00A27C71" w:rsidRDefault="00A27C71" w:rsidP="00A27C71">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Pr>
          <w:b/>
          <w:smallCaps/>
          <w:noProof/>
          <w:szCs w:val="24"/>
          <w:u w:val="single"/>
          <w:lang w:eastAsia="en-GB"/>
        </w:rPr>
        <w:t>Recommendations</w:t>
      </w:r>
    </w:p>
    <w:p w14:paraId="5EF8FB52" w14:textId="77777777" w:rsidR="009C1B96" w:rsidRPr="00D16464" w:rsidRDefault="009C1B96" w:rsidP="009C1B96">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Overall, based on the recommendations in the 2025 Rule of Law Report, considering other developments that took place in the period of reference and in addition to recalling the relevant commitments made under the Recovery and Resilience Plan, the Commission concludes the following: </w:t>
      </w:r>
    </w:p>
    <w:p w14:paraId="10CE7480" w14:textId="77777777" w:rsidR="009C1B96" w:rsidRPr="00D16464" w:rsidRDefault="009C1B96" w:rsidP="009C1B96">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p>
    <w:p w14:paraId="5B5801B4" w14:textId="77777777" w:rsidR="009C1B96" w:rsidRPr="00D16464" w:rsidRDefault="009C1B96" w:rsidP="009C1B96">
      <w:pPr>
        <w:numPr>
          <w:ilvl w:val="0"/>
          <w:numId w:val="41"/>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There has been limited further progress on ensuring a track record of investigations, prosecutions and final judgments in corruption offences, as results remain modest in investigating and moderate in prosecuting and reaching final judgments, including as regards high-level corruption, although some efforts to strengthen capacities of state prosecution offices are ongoing. Therefore, it is recommended to Slovenia to </w:t>
      </w:r>
      <w:r>
        <w:rPr>
          <w:i/>
          <w:noProof/>
          <w:lang w:val="en-IE" w:eastAsia="en-GB"/>
        </w:rPr>
        <w:t>take further measures to ensure a track record of investigations, prosecutions and final judgments in corruption offences, including in high-level cases.</w:t>
      </w:r>
    </w:p>
    <w:p w14:paraId="5A4640DD" w14:textId="77777777" w:rsidR="009C1B96" w:rsidRPr="00D16464" w:rsidRDefault="009C1B96" w:rsidP="009C1B96">
      <w:pPr>
        <w:numPr>
          <w:ilvl w:val="0"/>
          <w:numId w:val="41"/>
        </w:numPr>
        <w:pBdr>
          <w:top w:val="single" w:sz="4" w:space="1" w:color="auto"/>
          <w:left w:val="single" w:sz="4" w:space="4" w:color="auto"/>
          <w:bottom w:val="single" w:sz="4" w:space="17" w:color="auto"/>
          <w:right w:val="single" w:sz="4" w:space="4" w:color="auto"/>
        </w:pBdr>
        <w:spacing w:after="200"/>
        <w:contextualSpacing/>
        <w:rPr>
          <w:i/>
          <w:noProof/>
          <w:szCs w:val="24"/>
          <w:lang w:val="en-IE" w:eastAsia="en-GB"/>
        </w:rPr>
      </w:pPr>
      <w:r>
        <w:rPr>
          <w:noProof/>
          <w:szCs w:val="24"/>
          <w:lang w:val="en-IE" w:eastAsia="en-GB"/>
        </w:rPr>
        <w:t xml:space="preserve">Some further progress has been made to further advance with the process of adopting legislative and non-legislative safeguards to improve the protection of journalists, as the Act on Protective Measures against Strategic Lawsuits Against Public Participation and the Media Act have been adopted, while challenges remain. Therefore, it is recommended to Slovenia to </w:t>
      </w:r>
      <w:r>
        <w:rPr>
          <w:i/>
          <w:noProof/>
          <w:szCs w:val="24"/>
          <w:lang w:val="en-IE" w:eastAsia="en-GB"/>
        </w:rPr>
        <w:t xml:space="preserve">broaden the range of available safeguards to improve the protection of journalists, taking into account European standards on the protection of journalists. </w:t>
      </w:r>
    </w:p>
    <w:p w14:paraId="54333C65" w14:textId="77777777" w:rsidR="009C1B96" w:rsidRPr="00D16464" w:rsidRDefault="009C1B96" w:rsidP="009C1B96">
      <w:pPr>
        <w:pBdr>
          <w:top w:val="single" w:sz="4" w:space="1" w:color="auto"/>
          <w:left w:val="single" w:sz="4" w:space="4" w:color="auto"/>
          <w:bottom w:val="single" w:sz="4" w:space="17" w:color="auto"/>
          <w:right w:val="single" w:sz="4" w:space="4" w:color="auto"/>
        </w:pBdr>
        <w:spacing w:after="200"/>
        <w:contextualSpacing/>
        <w:rPr>
          <w:i/>
          <w:noProof/>
          <w:szCs w:val="24"/>
          <w:lang w:val="en-IE" w:eastAsia="en-GB"/>
        </w:rPr>
      </w:pPr>
    </w:p>
    <w:p w14:paraId="4CA0CDED" w14:textId="77777777" w:rsidR="00B04623" w:rsidRDefault="009C1B96" w:rsidP="009C1B96">
      <w:pPr>
        <w:pBdr>
          <w:top w:val="single" w:sz="4" w:space="1" w:color="auto"/>
          <w:left w:val="single" w:sz="4" w:space="4" w:color="auto"/>
          <w:bottom w:val="single" w:sz="4" w:space="17" w:color="auto"/>
          <w:right w:val="single" w:sz="4" w:space="4" w:color="auto"/>
        </w:pBdr>
        <w:spacing w:after="200"/>
        <w:contextualSpacing/>
        <w:rPr>
          <w:iCs/>
          <w:noProof/>
          <w:szCs w:val="24"/>
          <w:lang w:val="en-IE" w:eastAsia="en-GB"/>
        </w:rPr>
      </w:pPr>
      <w:r>
        <w:rPr>
          <w:iCs/>
          <w:noProof/>
          <w:szCs w:val="24"/>
          <w:lang w:val="en-IE" w:eastAsia="en-GB"/>
        </w:rPr>
        <w:t>As regards the other 2025 recommendations, the Commission concludes that:</w:t>
      </w:r>
    </w:p>
    <w:p w14:paraId="274D9826" w14:textId="30320401" w:rsidR="00A27C71" w:rsidRDefault="009C1B96" w:rsidP="009C1B96">
      <w:pPr>
        <w:pStyle w:val="ListParagraph"/>
        <w:numPr>
          <w:ilvl w:val="0"/>
          <w:numId w:val="41"/>
        </w:numPr>
        <w:pBdr>
          <w:top w:val="single" w:sz="4" w:space="1" w:color="auto"/>
          <w:left w:val="single" w:sz="4" w:space="4" w:color="auto"/>
          <w:bottom w:val="single" w:sz="4" w:space="17" w:color="auto"/>
          <w:right w:val="single" w:sz="4" w:space="4" w:color="auto"/>
        </w:pBdr>
        <w:spacing w:after="0" w:line="256" w:lineRule="auto"/>
        <w:rPr>
          <w:noProof/>
        </w:rPr>
      </w:pPr>
      <w:r>
        <w:rPr>
          <w:rFonts w:eastAsia="Times New Roman" w:cs="Times New Roman"/>
          <w:noProof/>
          <w:szCs w:val="24"/>
          <w:lang w:val="en-IE" w:eastAsia="en-GB"/>
        </w:rPr>
        <w:t xml:space="preserve">Limited further progress has been made on completing reforms to ensure that the rules or mechanisms are in place to provide funding for public service media that is appropriate for the realisation of its public service remit while guaranteeing its independence, as the financial challenges of the STA have been addressed, while those of the RTV improved to a limited extent. </w:t>
      </w:r>
      <w:r>
        <w:rPr>
          <w:rFonts w:eastAsia="Times New Roman" w:cs="Times New Roman"/>
          <w:noProof/>
          <w:szCs w:val="24"/>
          <w:lang w:eastAsia="en-GB"/>
        </w:rPr>
        <w:t>Given that the topic of this recommendation is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bookmarkEnd w:id="2"/>
    <w:p w14:paraId="66D2C31E" w14:textId="77777777" w:rsidR="00A27C71" w:rsidRDefault="00A27C71" w:rsidP="00A27C71">
      <w:pPr>
        <w:spacing w:after="0"/>
        <w:jc w:val="left"/>
        <w:rPr>
          <w:noProof/>
          <w:lang w:val="en-IE" w:eastAsia="en-GB"/>
        </w:rPr>
      </w:pPr>
      <w:r>
        <w:rPr>
          <w:noProof/>
          <w:lang w:val="en-IE" w:eastAsia="en-GB"/>
        </w:rPr>
        <w:br w:type="page"/>
      </w:r>
    </w:p>
    <w:p w14:paraId="1BABD7B7" w14:textId="1D8A9928" w:rsidR="001D33E1" w:rsidRPr="00053759" w:rsidRDefault="001D33E1" w:rsidP="00045904">
      <w:pPr>
        <w:pStyle w:val="Heading1"/>
        <w:numPr>
          <w:ilvl w:val="0"/>
          <w:numId w:val="40"/>
        </w:numPr>
        <w:rPr>
          <w:noProof/>
          <w:u w:val="single"/>
        </w:rPr>
      </w:pPr>
      <w:r w:rsidRPr="00053759">
        <w:rPr>
          <w:noProof/>
          <w:u w:val="single"/>
        </w:rPr>
        <w:t>Justice System</w:t>
      </w:r>
      <w:r w:rsidRPr="00053759">
        <w:rPr>
          <w:b w:val="0"/>
          <w:bCs/>
          <w:noProof/>
          <w:u w:val="single"/>
          <w:vertAlign w:val="superscript"/>
        </w:rPr>
        <w:footnoteReference w:id="1"/>
      </w:r>
    </w:p>
    <w:p w14:paraId="2A7F484C" w14:textId="10A7F958" w:rsidR="001D33E1" w:rsidRPr="00230D53" w:rsidRDefault="001D33E1" w:rsidP="00AD3066">
      <w:pPr>
        <w:pStyle w:val="Heading2"/>
        <w:numPr>
          <w:ilvl w:val="0"/>
          <w:numId w:val="0"/>
        </w:numPr>
        <w:rPr>
          <w:noProof/>
        </w:rPr>
      </w:pPr>
      <w:r w:rsidRPr="00230D53">
        <w:rPr>
          <w:noProof/>
        </w:rPr>
        <w:t>Independence</w:t>
      </w:r>
    </w:p>
    <w:p w14:paraId="1314665F" w14:textId="77777777" w:rsidR="004F6B09" w:rsidRPr="00EC0156" w:rsidRDefault="001D33E1" w:rsidP="004F6B09">
      <w:pPr>
        <w:spacing w:after="160"/>
        <w:rPr>
          <w:rFonts w:eastAsia="Aptos"/>
          <w:noProof/>
          <w:kern w:val="2"/>
          <w:szCs w:val="24"/>
          <w:lang w:val="en-IE"/>
          <w14:ligatures w14:val="standardContextual"/>
        </w:rPr>
      </w:pPr>
      <w:r w:rsidRPr="005A5263">
        <w:rPr>
          <w:rFonts w:eastAsia="Aptos"/>
          <w:b/>
          <w:bCs/>
          <w:noProof/>
          <w:kern w:val="2"/>
          <w:szCs w:val="24"/>
          <w:lang w:val="en-IE"/>
          <w14:ligatures w14:val="standardContextual"/>
        </w:rPr>
        <w:t xml:space="preserve">The level of perceived judicial independence in Slovenia continues to be average among </w:t>
      </w:r>
      <w:r w:rsidRPr="005A5263">
        <w:rPr>
          <w:rFonts w:eastAsia="Aptos"/>
          <w:b/>
          <w:noProof/>
          <w:kern w:val="2"/>
          <w:szCs w:val="24"/>
          <w:lang w:val="en-IE"/>
          <w14:ligatures w14:val="standardContextual"/>
        </w:rPr>
        <w:t>both</w:t>
      </w:r>
      <w:r w:rsidRPr="005A5263">
        <w:rPr>
          <w:rFonts w:eastAsia="Aptos"/>
          <w:b/>
          <w:bCs/>
          <w:noProof/>
          <w:kern w:val="2"/>
          <w:szCs w:val="24"/>
          <w:lang w:val="en-IE"/>
          <w14:ligatures w14:val="standardContextual"/>
        </w:rPr>
        <w:t xml:space="preserve"> the general public and companies</w:t>
      </w:r>
      <w:r w:rsidRPr="005A5263">
        <w:rPr>
          <w:rFonts w:eastAsia="Aptos"/>
          <w:noProof/>
          <w:kern w:val="2"/>
          <w:szCs w:val="24"/>
          <w:lang w:val="en-IE"/>
          <w14:ligatures w14:val="standardContextual"/>
        </w:rPr>
        <w:t>. Overall, 59% of the general population and 55% of companies perceive the level of independence of courts and judges to be ‘fairly or very good’ in 2026</w:t>
      </w:r>
      <w:r w:rsidRPr="005A5263">
        <w:rPr>
          <w:rFonts w:eastAsia="Aptos"/>
          <w:noProof/>
          <w:kern w:val="2"/>
          <w:szCs w:val="24"/>
          <w:vertAlign w:val="superscript"/>
          <w:lang w:val="en-IE"/>
          <w14:ligatures w14:val="standardContextual"/>
        </w:rPr>
        <w:footnoteReference w:id="2"/>
      </w:r>
      <w:r w:rsidRPr="005A5263">
        <w:rPr>
          <w:rFonts w:eastAsia="Aptos"/>
          <w:noProof/>
          <w:kern w:val="2"/>
          <w:szCs w:val="24"/>
          <w:lang w:val="en-IE"/>
          <w14:ligatures w14:val="standardContextual"/>
        </w:rPr>
        <w:t xml:space="preserve">. The perceived judicial independence among the general public has slightly increased in comparison with 2025 (56%), and has significantly increased in comparison with 2022 (49%). The perceived judicial independence among companies remains at the same level as in 2025 </w:t>
      </w:r>
      <w:r w:rsidRPr="00EC0156">
        <w:rPr>
          <w:rFonts w:eastAsia="Aptos"/>
          <w:noProof/>
          <w:kern w:val="2"/>
          <w:szCs w:val="24"/>
          <w:lang w:val="en-IE"/>
          <w14:ligatures w14:val="standardContextual"/>
        </w:rPr>
        <w:t>(55%), and has increased in comparison with 2022 (49%).</w:t>
      </w:r>
    </w:p>
    <w:p w14:paraId="150158C7" w14:textId="079DC7BB" w:rsidR="001D33E1" w:rsidRPr="00230D53" w:rsidRDefault="00465E13" w:rsidP="004F6B09">
      <w:pPr>
        <w:spacing w:after="160"/>
        <w:rPr>
          <w:noProof/>
          <w:lang w:eastAsia="fr-FR"/>
        </w:rPr>
      </w:pPr>
      <w:r w:rsidRPr="00EC0156">
        <w:rPr>
          <w:b/>
          <w:noProof/>
          <w:lang w:eastAsia="fr-FR"/>
        </w:rPr>
        <w:t>The new Judges Act transferred the power to appoint Supreme Court judges from Parliament to the Judicial Council</w:t>
      </w:r>
      <w:r w:rsidR="00C02487" w:rsidRPr="00EC0156">
        <w:rPr>
          <w:b/>
          <w:noProof/>
          <w:lang w:eastAsia="fr-FR"/>
        </w:rPr>
        <w:t xml:space="preserve">, and, </w:t>
      </w:r>
      <w:r w:rsidR="00EB52A5" w:rsidRPr="00EC0156">
        <w:rPr>
          <w:b/>
          <w:noProof/>
          <w:lang w:eastAsia="fr-FR"/>
        </w:rPr>
        <w:t>along</w:t>
      </w:r>
      <w:r w:rsidR="00C02487" w:rsidRPr="00EC0156">
        <w:rPr>
          <w:b/>
          <w:noProof/>
          <w:lang w:eastAsia="fr-FR"/>
        </w:rPr>
        <w:t xml:space="preserve"> with </w:t>
      </w:r>
      <w:r w:rsidR="00C857E9" w:rsidRPr="00EC0156">
        <w:rPr>
          <w:b/>
          <w:noProof/>
          <w:lang w:eastAsia="fr-FR"/>
        </w:rPr>
        <w:t xml:space="preserve">amendments to the Judicial Council Act, </w:t>
      </w:r>
      <w:r w:rsidR="00C14A09" w:rsidRPr="00EC0156">
        <w:rPr>
          <w:b/>
          <w:noProof/>
          <w:lang w:eastAsia="fr-FR"/>
        </w:rPr>
        <w:t>refined safeguards on judicial independence</w:t>
      </w:r>
      <w:r w:rsidRPr="00EC0156">
        <w:rPr>
          <w:b/>
          <w:noProof/>
          <w:lang w:eastAsia="fr-FR"/>
        </w:rPr>
        <w:t>.</w:t>
      </w:r>
      <w:r w:rsidR="001D33E1" w:rsidRPr="00EC0156">
        <w:rPr>
          <w:noProof/>
          <w:lang w:eastAsia="fr-FR"/>
        </w:rPr>
        <w:t xml:space="preserve"> The new law, adopted on 21 November </w:t>
      </w:r>
      <w:r w:rsidR="001D33E1" w:rsidRPr="00EC0156">
        <w:rPr>
          <w:bCs/>
          <w:noProof/>
          <w:lang w:eastAsia="fr-FR"/>
        </w:rPr>
        <w:t>2025</w:t>
      </w:r>
      <w:r w:rsidR="001D33E1" w:rsidRPr="00EC0156">
        <w:rPr>
          <w:noProof/>
          <w:lang w:eastAsia="fr-FR"/>
        </w:rPr>
        <w:t>,</w:t>
      </w:r>
      <w:r w:rsidR="001D33E1" w:rsidRPr="00EC0156">
        <w:rPr>
          <w:noProof/>
        </w:rPr>
        <w:t xml:space="preserve"> </w:t>
      </w:r>
      <w:r w:rsidR="001D33E1" w:rsidRPr="00EC0156">
        <w:rPr>
          <w:noProof/>
          <w:lang w:eastAsia="fr-FR"/>
        </w:rPr>
        <w:t>transferred the power to appoint Supreme Court judges from Parliament to the Judicial Council</w:t>
      </w:r>
      <w:r w:rsidR="001D33E1" w:rsidRPr="00EC0156">
        <w:rPr>
          <w:rStyle w:val="FootnoteReference"/>
          <w:noProof/>
          <w:lang w:eastAsia="fr-FR"/>
        </w:rPr>
        <w:footnoteReference w:id="3"/>
      </w:r>
      <w:r w:rsidR="001D33E1" w:rsidRPr="00EC0156">
        <w:rPr>
          <w:noProof/>
          <w:lang w:eastAsia="fr-FR"/>
        </w:rPr>
        <w:t>. Unlike the previous parliamentary appointment procedure, the new law explicitly allows for judicial review of the Council’s decision</w:t>
      </w:r>
      <w:r w:rsidR="001D33E1" w:rsidRPr="00EC0156">
        <w:rPr>
          <w:bCs/>
          <w:noProof/>
          <w:lang w:eastAsia="fr-FR"/>
        </w:rPr>
        <w:t xml:space="preserve"> on appointment of Supreme Court judges</w:t>
      </w:r>
      <w:r w:rsidR="001D33E1" w:rsidRPr="00EC0156">
        <w:rPr>
          <w:noProof/>
          <w:lang w:eastAsia="fr-FR"/>
        </w:rPr>
        <w:t xml:space="preserve">, which </w:t>
      </w:r>
      <w:r w:rsidR="001D33E1" w:rsidRPr="00EC0156">
        <w:rPr>
          <w:bCs/>
          <w:noProof/>
          <w:lang w:eastAsia="fr-FR"/>
        </w:rPr>
        <w:t xml:space="preserve">must </w:t>
      </w:r>
      <w:r w:rsidR="001D33E1" w:rsidRPr="00EC0156">
        <w:rPr>
          <w:noProof/>
          <w:lang w:eastAsia="fr-FR"/>
        </w:rPr>
        <w:t xml:space="preserve">also </w:t>
      </w:r>
      <w:r w:rsidR="001D33E1" w:rsidRPr="00EC0156">
        <w:rPr>
          <w:bCs/>
          <w:noProof/>
          <w:lang w:eastAsia="fr-FR"/>
        </w:rPr>
        <w:t>contain reasoning</w:t>
      </w:r>
      <w:r w:rsidR="001D33E1" w:rsidRPr="00EC0156">
        <w:rPr>
          <w:rStyle w:val="FootnoteReference"/>
          <w:bCs/>
          <w:noProof/>
          <w:lang w:eastAsia="fr-FR"/>
        </w:rPr>
        <w:footnoteReference w:id="4"/>
      </w:r>
      <w:r w:rsidR="001D33E1" w:rsidRPr="00EC0156">
        <w:rPr>
          <w:bCs/>
          <w:noProof/>
          <w:lang w:eastAsia="fr-FR"/>
        </w:rPr>
        <w:t>.</w:t>
      </w:r>
      <w:r w:rsidR="001D33E1" w:rsidRPr="00EC0156">
        <w:rPr>
          <w:noProof/>
          <w:lang w:eastAsia="fr-FR"/>
        </w:rPr>
        <w:t xml:space="preserve"> Additionally, amendments to the Judicial Council Act, also adopted </w:t>
      </w:r>
      <w:r w:rsidR="001D33E1" w:rsidRPr="00EC0156">
        <w:rPr>
          <w:bCs/>
          <w:noProof/>
          <w:lang w:eastAsia="fr-FR"/>
        </w:rPr>
        <w:t>on</w:t>
      </w:r>
      <w:r w:rsidR="001D33E1" w:rsidRPr="00EC0156">
        <w:rPr>
          <w:noProof/>
          <w:lang w:eastAsia="fr-FR"/>
        </w:rPr>
        <w:t xml:space="preserve"> 21 November </w:t>
      </w:r>
      <w:r w:rsidR="001D33E1" w:rsidRPr="00EC0156">
        <w:rPr>
          <w:bCs/>
          <w:noProof/>
          <w:lang w:eastAsia="fr-FR"/>
        </w:rPr>
        <w:t>2025</w:t>
      </w:r>
      <w:r w:rsidR="001D33E1" w:rsidRPr="00EC0156">
        <w:rPr>
          <w:noProof/>
          <w:lang w:eastAsia="fr-FR"/>
        </w:rPr>
        <w:t xml:space="preserve">, </w:t>
      </w:r>
      <w:r w:rsidR="003E1852" w:rsidRPr="00EC0156">
        <w:rPr>
          <w:noProof/>
          <w:lang w:eastAsia="fr-FR"/>
        </w:rPr>
        <w:t xml:space="preserve">refined </w:t>
      </w:r>
      <w:r w:rsidR="001D33E1" w:rsidRPr="00EC0156">
        <w:rPr>
          <w:noProof/>
          <w:lang w:eastAsia="fr-FR"/>
        </w:rPr>
        <w:t>the guarantees</w:t>
      </w:r>
      <w:r w:rsidR="001D33E1" w:rsidRPr="00230D53">
        <w:rPr>
          <w:noProof/>
          <w:lang w:eastAsia="fr-FR"/>
        </w:rPr>
        <w:t xml:space="preserve"> in the selection procedure for </w:t>
      </w:r>
      <w:r w:rsidR="001D33E1">
        <w:rPr>
          <w:bCs/>
          <w:noProof/>
          <w:lang w:eastAsia="fr-FR"/>
        </w:rPr>
        <w:t xml:space="preserve">appointment of </w:t>
      </w:r>
      <w:r w:rsidR="001D33E1" w:rsidRPr="00230D53">
        <w:rPr>
          <w:bCs/>
          <w:noProof/>
          <w:lang w:eastAsia="fr-FR"/>
        </w:rPr>
        <w:t>judges</w:t>
      </w:r>
      <w:r w:rsidR="001D33E1">
        <w:rPr>
          <w:bCs/>
          <w:noProof/>
          <w:lang w:eastAsia="fr-FR"/>
        </w:rPr>
        <w:t xml:space="preserve"> to all court instances</w:t>
      </w:r>
      <w:r w:rsidR="001D33E1" w:rsidRPr="00230D53">
        <w:rPr>
          <w:noProof/>
          <w:lang w:eastAsia="fr-FR"/>
        </w:rPr>
        <w:t xml:space="preserve">, particularly regarding the </w:t>
      </w:r>
      <w:r w:rsidR="001D33E1">
        <w:rPr>
          <w:bCs/>
          <w:noProof/>
          <w:lang w:eastAsia="fr-FR"/>
        </w:rPr>
        <w:t xml:space="preserve">reasoning of decisions and </w:t>
      </w:r>
      <w:r w:rsidR="001D33E1" w:rsidRPr="00230D53">
        <w:rPr>
          <w:noProof/>
          <w:lang w:eastAsia="fr-FR"/>
        </w:rPr>
        <w:t>impartiality of Council members</w:t>
      </w:r>
      <w:r w:rsidR="001D33E1" w:rsidRPr="00230D53">
        <w:rPr>
          <w:rStyle w:val="FootnoteReference"/>
          <w:bCs/>
          <w:noProof/>
          <w:lang w:eastAsia="fr-FR"/>
        </w:rPr>
        <w:footnoteReference w:id="5"/>
      </w:r>
      <w:r w:rsidR="001D33E1" w:rsidRPr="00230D53">
        <w:rPr>
          <w:bCs/>
          <w:noProof/>
          <w:lang w:eastAsia="fr-FR"/>
        </w:rPr>
        <w:t>.</w:t>
      </w:r>
      <w:r w:rsidR="001D33E1" w:rsidRPr="00230D53">
        <w:rPr>
          <w:noProof/>
          <w:lang w:eastAsia="fr-FR"/>
        </w:rPr>
        <w:t xml:space="preserve"> Furthermore, the amendments limited the term of office of Council members to a </w:t>
      </w:r>
      <w:r w:rsidR="001D33E1">
        <w:rPr>
          <w:noProof/>
          <w:lang w:eastAsia="fr-FR"/>
        </w:rPr>
        <w:t>non-renewable</w:t>
      </w:r>
      <w:r w:rsidR="001D33E1" w:rsidRPr="00230D53">
        <w:rPr>
          <w:noProof/>
          <w:lang w:eastAsia="fr-FR"/>
        </w:rPr>
        <w:t xml:space="preserve"> six-year term and introduced detailed provisions on elections of judge-members</w:t>
      </w:r>
      <w:r w:rsidR="001D33E1" w:rsidRPr="00230D53">
        <w:rPr>
          <w:rStyle w:val="FootnoteReference"/>
          <w:noProof/>
          <w:lang w:eastAsia="fr-FR"/>
        </w:rPr>
        <w:footnoteReference w:id="6"/>
      </w:r>
      <w:r w:rsidR="001D33E1" w:rsidRPr="00230D53">
        <w:rPr>
          <w:noProof/>
          <w:lang w:eastAsia="fr-FR"/>
        </w:rPr>
        <w:t xml:space="preserve">. </w:t>
      </w:r>
      <w:r w:rsidR="001D33E1" w:rsidRPr="00230D53">
        <w:rPr>
          <w:noProof/>
        </w:rPr>
        <w:t>The safeguards on judicial independence have been reinforced also in the procedure</w:t>
      </w:r>
      <w:r w:rsidR="001D33E1">
        <w:rPr>
          <w:noProof/>
        </w:rPr>
        <w:t xml:space="preserve"> for</w:t>
      </w:r>
      <w:r w:rsidR="001D33E1" w:rsidRPr="00CC3690">
        <w:rPr>
          <w:noProof/>
        </w:rPr>
        <w:t xml:space="preserve"> </w:t>
      </w:r>
      <w:r w:rsidR="001D33E1" w:rsidRPr="00230D53">
        <w:rPr>
          <w:noProof/>
        </w:rPr>
        <w:t xml:space="preserve">dismissal </w:t>
      </w:r>
      <w:r w:rsidR="001D33E1">
        <w:rPr>
          <w:noProof/>
        </w:rPr>
        <w:t>of judges</w:t>
      </w:r>
      <w:r w:rsidR="001D33E1" w:rsidRPr="00230D53">
        <w:rPr>
          <w:noProof/>
        </w:rPr>
        <w:t xml:space="preserve">, as the new Judges Act explicitly allows for judicial review of </w:t>
      </w:r>
      <w:r w:rsidR="001D33E1">
        <w:rPr>
          <w:noProof/>
        </w:rPr>
        <w:t xml:space="preserve">the </w:t>
      </w:r>
      <w:r w:rsidR="001D33E1" w:rsidRPr="00230D53">
        <w:rPr>
          <w:noProof/>
        </w:rPr>
        <w:t>Parliament’s dismissal decision</w:t>
      </w:r>
      <w:r w:rsidR="001D33E1" w:rsidRPr="00230D53">
        <w:rPr>
          <w:rStyle w:val="FootnoteReference"/>
          <w:noProof/>
        </w:rPr>
        <w:footnoteReference w:id="7"/>
      </w:r>
      <w:r w:rsidR="001D33E1" w:rsidRPr="00230D53">
        <w:rPr>
          <w:noProof/>
        </w:rPr>
        <w:t xml:space="preserve">. At the same time, the Judicial Council </w:t>
      </w:r>
      <w:r w:rsidR="001D33E1">
        <w:rPr>
          <w:noProof/>
        </w:rPr>
        <w:t>noted</w:t>
      </w:r>
      <w:r w:rsidR="001D33E1" w:rsidRPr="00230D53">
        <w:rPr>
          <w:noProof/>
        </w:rPr>
        <w:t xml:space="preserve"> that the new Judges Act may increase the influence of court presidents in judicial selection procedures, as it introduced the right for a court president to participate in the </w:t>
      </w:r>
      <w:r w:rsidR="001D33E1">
        <w:rPr>
          <w:noProof/>
        </w:rPr>
        <w:t xml:space="preserve">Council’s </w:t>
      </w:r>
      <w:r w:rsidR="001D33E1" w:rsidRPr="00230D53">
        <w:rPr>
          <w:noProof/>
        </w:rPr>
        <w:t>deliberations</w:t>
      </w:r>
      <w:r w:rsidR="001D33E1" w:rsidRPr="00230D53">
        <w:rPr>
          <w:rStyle w:val="FootnoteReference"/>
          <w:noProof/>
        </w:rPr>
        <w:footnoteReference w:id="8"/>
      </w:r>
      <w:r w:rsidR="001D33E1" w:rsidRPr="00230D53">
        <w:rPr>
          <w:noProof/>
        </w:rPr>
        <w:t>.</w:t>
      </w:r>
    </w:p>
    <w:p w14:paraId="6FB78E8D" w14:textId="77777777" w:rsidR="001D33E1" w:rsidRPr="00230D53" w:rsidRDefault="001D33E1" w:rsidP="001D33E1">
      <w:pPr>
        <w:rPr>
          <w:noProof/>
          <w:lang w:eastAsia="fr-FR"/>
        </w:rPr>
      </w:pPr>
      <w:r w:rsidRPr="00230D53">
        <w:rPr>
          <w:b/>
          <w:noProof/>
          <w:lang w:eastAsia="fr-FR"/>
        </w:rPr>
        <w:t xml:space="preserve">The amendments to the Judicial Council Act and a new Judges Act overhauled the disciplinary framework for judges. </w:t>
      </w:r>
      <w:r>
        <w:rPr>
          <w:bCs/>
          <w:noProof/>
          <w:lang w:eastAsia="fr-FR"/>
        </w:rPr>
        <w:t>As proposed by</w:t>
      </w:r>
      <w:r w:rsidRPr="002A2A79">
        <w:rPr>
          <w:bCs/>
          <w:noProof/>
          <w:lang w:eastAsia="fr-FR"/>
        </w:rPr>
        <w:t xml:space="preserve"> the judiciary, </w:t>
      </w:r>
      <w:r>
        <w:rPr>
          <w:noProof/>
          <w:lang w:eastAsia="fr-FR"/>
        </w:rPr>
        <w:t>t</w:t>
      </w:r>
      <w:r w:rsidRPr="00230D53">
        <w:rPr>
          <w:noProof/>
          <w:lang w:eastAsia="fr-FR"/>
        </w:rPr>
        <w:t>he new Judges Act provide</w:t>
      </w:r>
      <w:r>
        <w:rPr>
          <w:noProof/>
          <w:lang w:eastAsia="fr-FR"/>
        </w:rPr>
        <w:t>s</w:t>
      </w:r>
      <w:r w:rsidRPr="00230D53">
        <w:rPr>
          <w:noProof/>
          <w:lang w:eastAsia="fr-FR"/>
        </w:rPr>
        <w:t xml:space="preserve"> for a more precise definition of disciplinary offences</w:t>
      </w:r>
      <w:r>
        <w:rPr>
          <w:noProof/>
          <w:lang w:eastAsia="fr-FR"/>
        </w:rPr>
        <w:t xml:space="preserve">. This is complemented by </w:t>
      </w:r>
      <w:r w:rsidRPr="00230D53">
        <w:rPr>
          <w:noProof/>
          <w:lang w:eastAsia="fr-FR"/>
        </w:rPr>
        <w:t>procedural changes in the Judicial Council Act concern</w:t>
      </w:r>
      <w:r>
        <w:rPr>
          <w:noProof/>
          <w:lang w:eastAsia="fr-FR"/>
        </w:rPr>
        <w:t>ing</w:t>
      </w:r>
      <w:r w:rsidRPr="00230D53">
        <w:rPr>
          <w:noProof/>
          <w:lang w:eastAsia="fr-FR"/>
        </w:rPr>
        <w:t xml:space="preserve"> the regulation of disciplinary prosecutors, the suspension of judges during disciplinary proceedings, and the legal remedy against a disciplinary decision</w:t>
      </w:r>
      <w:r>
        <w:rPr>
          <w:rStyle w:val="FootnoteReference"/>
          <w:bCs/>
          <w:noProof/>
          <w:lang w:eastAsia="fr-FR"/>
        </w:rPr>
        <w:footnoteReference w:id="9"/>
      </w:r>
      <w:r w:rsidRPr="00230D53">
        <w:rPr>
          <w:noProof/>
          <w:lang w:eastAsia="fr-FR"/>
        </w:rPr>
        <w:t xml:space="preserve">. The amendments to the Judicial Council Act also </w:t>
      </w:r>
      <w:r>
        <w:rPr>
          <w:noProof/>
          <w:lang w:eastAsia="fr-FR"/>
        </w:rPr>
        <w:t>adapted</w:t>
      </w:r>
      <w:r w:rsidRPr="00230D53">
        <w:rPr>
          <w:noProof/>
          <w:lang w:eastAsia="fr-FR"/>
        </w:rPr>
        <w:t xml:space="preserve"> certain provisions on disciplinary proceedings</w:t>
      </w:r>
      <w:r>
        <w:rPr>
          <w:noProof/>
          <w:lang w:eastAsia="fr-FR"/>
        </w:rPr>
        <w:t>, which had been declared unconstitutional, notably</w:t>
      </w:r>
      <w:r w:rsidRPr="00230D53">
        <w:rPr>
          <w:noProof/>
          <w:lang w:eastAsia="fr-FR"/>
        </w:rPr>
        <w:t xml:space="preserve"> by removing the Judicial Council’s power to initiate disciplinary proceedings regarding judges</w:t>
      </w:r>
      <w:r w:rsidRPr="00230D53">
        <w:rPr>
          <w:rStyle w:val="FootnoteReference"/>
          <w:noProof/>
          <w:lang w:eastAsia="fr-FR"/>
        </w:rPr>
        <w:footnoteReference w:id="10"/>
      </w:r>
      <w:r w:rsidRPr="00230D53">
        <w:rPr>
          <w:noProof/>
          <w:lang w:eastAsia="fr-FR"/>
        </w:rPr>
        <w:t>. The Judicial Council</w:t>
      </w:r>
      <w:r w:rsidRPr="00230D53" w:rsidDel="001A0E80">
        <w:rPr>
          <w:noProof/>
          <w:lang w:eastAsia="fr-FR"/>
        </w:rPr>
        <w:t xml:space="preserve"> </w:t>
      </w:r>
      <w:r w:rsidRPr="00230D53">
        <w:rPr>
          <w:noProof/>
          <w:lang w:eastAsia="fr-FR"/>
        </w:rPr>
        <w:t>welcomed the new arrangement of disciplinary proceedings regarding judges</w:t>
      </w:r>
      <w:r w:rsidRPr="00230D53">
        <w:rPr>
          <w:rStyle w:val="FootnoteReference"/>
          <w:bCs/>
          <w:noProof/>
          <w:lang w:eastAsia="fr-FR"/>
        </w:rPr>
        <w:footnoteReference w:id="11"/>
      </w:r>
      <w:r w:rsidRPr="00230D53">
        <w:rPr>
          <w:bCs/>
          <w:noProof/>
          <w:lang w:eastAsia="fr-FR"/>
        </w:rPr>
        <w:t xml:space="preserve">. </w:t>
      </w:r>
    </w:p>
    <w:p w14:paraId="6FE4A344" w14:textId="2A27E7FA" w:rsidR="001D33E1" w:rsidRPr="00230D53" w:rsidRDefault="001D33E1" w:rsidP="001D33E1">
      <w:pPr>
        <w:rPr>
          <w:noProof/>
          <w:lang w:eastAsia="fr-FR"/>
        </w:rPr>
      </w:pPr>
      <w:r w:rsidRPr="70076A98">
        <w:rPr>
          <w:b/>
          <w:noProof/>
          <w:lang w:eastAsia="fr-FR"/>
        </w:rPr>
        <w:t xml:space="preserve">Efforts continued to strengthen protection measures for judges and state prosecutors. </w:t>
      </w:r>
      <w:r w:rsidRPr="70076A98">
        <w:rPr>
          <w:noProof/>
          <w:lang w:eastAsia="fr-FR"/>
        </w:rPr>
        <w:t>As previously reported, incidents involving judges and state prosecutors, including attacks, led to a reflection on whether the regulations are appropriate to ensure their protection</w:t>
      </w:r>
      <w:r w:rsidRPr="70076A98">
        <w:rPr>
          <w:rStyle w:val="FootnoteReference"/>
          <w:noProof/>
          <w:lang w:eastAsia="fr-FR"/>
        </w:rPr>
        <w:footnoteReference w:id="12"/>
      </w:r>
      <w:r w:rsidRPr="70076A98">
        <w:rPr>
          <w:noProof/>
          <w:lang w:eastAsia="fr-FR"/>
        </w:rPr>
        <w:t>. In 2025, preparatory work continued in the interministerial working group consisting of representatives of ministries, the police, the judiciary and state prosecution on systemic solutions to enhance protection of officials within judicial authorities and enable judicial institutions to operate more safely and effectively</w:t>
      </w:r>
      <w:r w:rsidRPr="70076A98">
        <w:rPr>
          <w:rStyle w:val="FootnoteReference"/>
          <w:noProof/>
          <w:lang w:eastAsia="fr-FR"/>
        </w:rPr>
        <w:footnoteReference w:id="13"/>
      </w:r>
      <w:r w:rsidRPr="70076A98">
        <w:rPr>
          <w:noProof/>
          <w:lang w:eastAsia="fr-FR"/>
        </w:rPr>
        <w:t>. Draft amendments to the rules, among others, envisage that the risk assessment would be made regularly by a police working body, including for judicial officials</w:t>
      </w:r>
      <w:r w:rsidRPr="70076A98">
        <w:rPr>
          <w:rStyle w:val="FootnoteReference"/>
          <w:noProof/>
          <w:lang w:eastAsia="fr-FR"/>
        </w:rPr>
        <w:footnoteReference w:id="14"/>
      </w:r>
      <w:r w:rsidRPr="70076A98">
        <w:rPr>
          <w:noProof/>
          <w:lang w:eastAsia="fr-FR"/>
        </w:rPr>
        <w:t xml:space="preserve">. </w:t>
      </w:r>
      <w:r w:rsidR="00720E5F" w:rsidRPr="00720E5F">
        <w:rPr>
          <w:noProof/>
          <w:lang w:eastAsia="fr-FR"/>
        </w:rPr>
        <w:t xml:space="preserve">Amendments to the Regulation on the protection of certain persons, premises, facilities, and surroundings of facilities protected by the police have not yet been adopted due to ongoing deliberations. Since the new </w:t>
      </w:r>
      <w:r w:rsidR="00720E5F">
        <w:rPr>
          <w:noProof/>
          <w:lang w:eastAsia="fr-FR"/>
        </w:rPr>
        <w:t>G</w:t>
      </w:r>
      <w:r w:rsidR="00720E5F" w:rsidRPr="00720E5F">
        <w:rPr>
          <w:noProof/>
          <w:lang w:eastAsia="fr-FR"/>
        </w:rPr>
        <w:t>overnment took office in June 2026, the procedure is expected to resume</w:t>
      </w:r>
      <w:r w:rsidR="00720E5F">
        <w:rPr>
          <w:noProof/>
          <w:lang w:eastAsia="fr-FR"/>
        </w:rPr>
        <w:t xml:space="preserve">. </w:t>
      </w:r>
      <w:r w:rsidRPr="70076A98">
        <w:rPr>
          <w:noProof/>
          <w:lang w:eastAsia="fr-FR"/>
        </w:rPr>
        <w:t>In the meantime, to provide support in cases of threats and other difficult situations at work, the new Courts Act and amendments to the State Prosecution Office Act introduced the possibility of psychological assistance for judges, state prosecutors and judicial staff, which was welcomed by the Judicial Council</w:t>
      </w:r>
      <w:r w:rsidRPr="70076A98">
        <w:rPr>
          <w:rStyle w:val="FootnoteReference"/>
          <w:noProof/>
          <w:lang w:eastAsia="fr-FR"/>
        </w:rPr>
        <w:footnoteReference w:id="15"/>
      </w:r>
      <w:r w:rsidRPr="70076A98">
        <w:rPr>
          <w:noProof/>
          <w:lang w:eastAsia="fr-FR"/>
        </w:rPr>
        <w:t>.</w:t>
      </w:r>
    </w:p>
    <w:p w14:paraId="31586536" w14:textId="35781DD9" w:rsidR="001D33E1" w:rsidRPr="00230D53" w:rsidRDefault="00004C6B" w:rsidP="001D33E1">
      <w:pPr>
        <w:rPr>
          <w:noProof/>
          <w:lang w:eastAsia="fr-FR"/>
        </w:rPr>
      </w:pPr>
      <w:bookmarkStart w:id="3" w:name="_Hlk233727281"/>
      <w:r w:rsidRPr="00503119">
        <w:rPr>
          <w:b/>
          <w:noProof/>
          <w:lang w:eastAsia="fr-FR"/>
        </w:rPr>
        <w:t xml:space="preserve">The </w:t>
      </w:r>
      <w:r w:rsidRPr="00230D53">
        <w:rPr>
          <w:b/>
          <w:noProof/>
          <w:lang w:eastAsia="fr-FR"/>
        </w:rPr>
        <w:t xml:space="preserve">allocation of court cases, which is based on a predefined order, will </w:t>
      </w:r>
      <w:r>
        <w:rPr>
          <w:b/>
          <w:noProof/>
          <w:lang w:eastAsia="fr-FR"/>
        </w:rPr>
        <w:t xml:space="preserve">by 2029 </w:t>
      </w:r>
      <w:r w:rsidRPr="00230D53">
        <w:rPr>
          <w:b/>
          <w:noProof/>
          <w:lang w:eastAsia="fr-FR"/>
        </w:rPr>
        <w:t>move from manual to electronic allocation.</w:t>
      </w:r>
      <w:r w:rsidRPr="00230D53">
        <w:rPr>
          <w:noProof/>
          <w:lang w:eastAsia="fr-FR"/>
        </w:rPr>
        <w:t xml:space="preserve"> </w:t>
      </w:r>
      <w:r w:rsidRPr="00D63B0F">
        <w:rPr>
          <w:noProof/>
          <w:lang w:eastAsia="fr-FR"/>
        </w:rPr>
        <w:t xml:space="preserve">Civil and administrative </w:t>
      </w:r>
      <w:r>
        <w:rPr>
          <w:noProof/>
          <w:lang w:eastAsia="fr-FR"/>
        </w:rPr>
        <w:t>c</w:t>
      </w:r>
      <w:r w:rsidRPr="00230D53">
        <w:rPr>
          <w:noProof/>
          <w:lang w:eastAsia="fr-FR"/>
        </w:rPr>
        <w:t xml:space="preserve">ases are being allocated manually by court staff according to the alphabetical order of judges’ surnames based on the time of filing in the </w:t>
      </w:r>
      <w:r w:rsidRPr="003C5390">
        <w:rPr>
          <w:noProof/>
          <w:lang w:eastAsia="fr-FR"/>
        </w:rPr>
        <w:t>court</w:t>
      </w:r>
      <w:r w:rsidRPr="003C5390">
        <w:rPr>
          <w:noProof/>
          <w:szCs w:val="24"/>
          <w:lang w:eastAsia="fr-FR"/>
        </w:rPr>
        <w:t>. An automatic system is in place for allocation of criminal cases</w:t>
      </w:r>
      <w:r w:rsidRPr="008F5B49">
        <w:rPr>
          <w:noProof/>
          <w:szCs w:val="24"/>
          <w:lang w:eastAsia="fr-FR"/>
        </w:rPr>
        <w:t>, although it is not used by all courts.</w:t>
      </w:r>
      <w:r w:rsidRPr="00230D53">
        <w:rPr>
          <w:noProof/>
          <w:szCs w:val="24"/>
          <w:lang w:eastAsia="fr-FR"/>
        </w:rPr>
        <w:t xml:space="preserve"> The new Courts Act mandated the Supreme Court to </w:t>
      </w:r>
      <w:r w:rsidRPr="00503119">
        <w:rPr>
          <w:noProof/>
          <w:szCs w:val="24"/>
        </w:rPr>
        <w:t xml:space="preserve">establish by January 2029 an </w:t>
      </w:r>
      <w:r>
        <w:rPr>
          <w:noProof/>
          <w:szCs w:val="24"/>
        </w:rPr>
        <w:t>IT</w:t>
      </w:r>
      <w:r w:rsidRPr="00503119">
        <w:rPr>
          <w:noProof/>
          <w:szCs w:val="24"/>
        </w:rPr>
        <w:t xml:space="preserve"> system for the electronic allocation of cases</w:t>
      </w:r>
      <w:r w:rsidRPr="00503119">
        <w:rPr>
          <w:rStyle w:val="FootnoteReference"/>
          <w:noProof/>
          <w:szCs w:val="24"/>
        </w:rPr>
        <w:footnoteReference w:id="16"/>
      </w:r>
      <w:r w:rsidRPr="00503119">
        <w:rPr>
          <w:noProof/>
          <w:szCs w:val="24"/>
        </w:rPr>
        <w:t xml:space="preserve">. The aim of the law is to </w:t>
      </w:r>
      <w:r w:rsidRPr="00230D53">
        <w:rPr>
          <w:noProof/>
          <w:szCs w:val="24"/>
          <w:lang w:eastAsia="fr-FR"/>
        </w:rPr>
        <w:t>strengthen impartiality and fairness of proceedings</w:t>
      </w:r>
      <w:r w:rsidRPr="00230D53">
        <w:rPr>
          <w:rStyle w:val="FootnoteReference"/>
          <w:noProof/>
          <w:szCs w:val="24"/>
          <w:lang w:eastAsia="fr-FR"/>
        </w:rPr>
        <w:footnoteReference w:id="17"/>
      </w:r>
      <w:r w:rsidRPr="00230D53">
        <w:rPr>
          <w:noProof/>
          <w:szCs w:val="24"/>
          <w:lang w:eastAsia="fr-FR"/>
        </w:rPr>
        <w:t>. The allocation of cases at lower courts is being monitored by higher court instances and by the Judicial Council</w:t>
      </w:r>
      <w:bookmarkEnd w:id="3"/>
      <w:r w:rsidR="001D33E1" w:rsidRPr="00230D53">
        <w:rPr>
          <w:rStyle w:val="FootnoteReference"/>
          <w:noProof/>
          <w:szCs w:val="24"/>
          <w:lang w:eastAsia="fr-FR"/>
        </w:rPr>
        <w:footnoteReference w:id="18"/>
      </w:r>
      <w:r w:rsidR="001D33E1" w:rsidRPr="00230D53">
        <w:rPr>
          <w:noProof/>
          <w:szCs w:val="24"/>
          <w:lang w:eastAsia="fr-FR"/>
        </w:rPr>
        <w:t>.</w:t>
      </w:r>
    </w:p>
    <w:p w14:paraId="272F85B0" w14:textId="77777777" w:rsidR="001D33E1" w:rsidRPr="00230D53" w:rsidRDefault="001D33E1" w:rsidP="00AD3066">
      <w:pPr>
        <w:pStyle w:val="Heading2"/>
        <w:numPr>
          <w:ilvl w:val="0"/>
          <w:numId w:val="0"/>
        </w:numPr>
        <w:rPr>
          <w:noProof/>
        </w:rPr>
      </w:pPr>
      <w:r w:rsidRPr="00230D53">
        <w:rPr>
          <w:noProof/>
        </w:rPr>
        <w:t xml:space="preserve">Quality </w:t>
      </w:r>
    </w:p>
    <w:p w14:paraId="652865D6" w14:textId="6D17DFD5" w:rsidR="001D33E1" w:rsidRPr="00230D53" w:rsidRDefault="001D33E1" w:rsidP="001D33E1">
      <w:pPr>
        <w:rPr>
          <w:noProof/>
          <w:lang w:eastAsia="fr-FR"/>
        </w:rPr>
      </w:pPr>
      <w:r w:rsidRPr="00230D53">
        <w:rPr>
          <w:b/>
          <w:noProof/>
          <w:szCs w:val="24"/>
          <w:lang w:eastAsia="fr-FR"/>
        </w:rPr>
        <w:t>The new Courts Act introduced a reform of the judicial map</w:t>
      </w:r>
      <w:r w:rsidR="00292399">
        <w:rPr>
          <w:b/>
          <w:noProof/>
          <w:szCs w:val="24"/>
          <w:lang w:eastAsia="fr-FR"/>
        </w:rPr>
        <w:t xml:space="preserve"> </w:t>
      </w:r>
      <w:r w:rsidR="00292399" w:rsidRPr="00292399">
        <w:rPr>
          <w:b/>
          <w:noProof/>
          <w:szCs w:val="24"/>
          <w:lang w:eastAsia="fr-FR"/>
        </w:rPr>
        <w:t>to take effect on 1 January 2027</w:t>
      </w:r>
      <w:r w:rsidRPr="00230D53">
        <w:rPr>
          <w:b/>
          <w:noProof/>
          <w:szCs w:val="24"/>
          <w:lang w:eastAsia="fr-FR"/>
        </w:rPr>
        <w:t xml:space="preserve">. </w:t>
      </w:r>
      <w:r w:rsidRPr="00230D53">
        <w:rPr>
          <w:noProof/>
          <w:szCs w:val="24"/>
          <w:lang w:eastAsia="fr-FR"/>
        </w:rPr>
        <w:t>The new Courts Act will, from 1 January 2027, merge District and Local Courts, keeping 11 District Courts only and making all first instance judges into District Court judges, while retaining the geographical distribution of court units</w:t>
      </w:r>
      <w:r w:rsidRPr="00230D53">
        <w:rPr>
          <w:rStyle w:val="FootnoteReference"/>
          <w:noProof/>
          <w:szCs w:val="24"/>
          <w:lang w:eastAsia="fr-FR"/>
        </w:rPr>
        <w:footnoteReference w:id="19"/>
      </w:r>
      <w:r w:rsidRPr="00230D53">
        <w:rPr>
          <w:noProof/>
          <w:szCs w:val="24"/>
          <w:lang w:eastAsia="fr-FR"/>
        </w:rPr>
        <w:t>. Its primary objective is to balance the workload among judges, reduce vulnerability to staff absences, improve specialisation and increase consistency of case law, thereby enhancing the efficiency and quality of justice</w:t>
      </w:r>
      <w:r w:rsidRPr="00230D53">
        <w:rPr>
          <w:rStyle w:val="FootnoteReference"/>
          <w:noProof/>
          <w:szCs w:val="24"/>
          <w:lang w:eastAsia="fr-FR"/>
        </w:rPr>
        <w:footnoteReference w:id="20"/>
      </w:r>
      <w:r w:rsidRPr="00230D53">
        <w:rPr>
          <w:noProof/>
          <w:szCs w:val="24"/>
          <w:lang w:eastAsia="fr-FR"/>
        </w:rPr>
        <w:t xml:space="preserve">. The new act </w:t>
      </w:r>
      <w:r>
        <w:rPr>
          <w:noProof/>
          <w:szCs w:val="24"/>
          <w:lang w:eastAsia="fr-FR"/>
        </w:rPr>
        <w:t>increased</w:t>
      </w:r>
      <w:r w:rsidRPr="00230D53">
        <w:rPr>
          <w:noProof/>
          <w:szCs w:val="24"/>
          <w:lang w:eastAsia="fr-FR"/>
        </w:rPr>
        <w:t xml:space="preserve"> the responsibility of court presidents to ensure the effective functioning of the court</w:t>
      </w:r>
      <w:r w:rsidRPr="00230D53">
        <w:rPr>
          <w:rStyle w:val="FootnoteReference"/>
          <w:noProof/>
          <w:szCs w:val="24"/>
          <w:lang w:eastAsia="fr-FR"/>
        </w:rPr>
        <w:footnoteReference w:id="21"/>
      </w:r>
      <w:r w:rsidRPr="00230D53">
        <w:rPr>
          <w:noProof/>
          <w:szCs w:val="24"/>
          <w:lang w:eastAsia="fr-FR"/>
        </w:rPr>
        <w:t>. Every year, the court presidents must, by means of an annual work schedule, determine the types of cases and geographical court units in which the judges of a District Court will work</w:t>
      </w:r>
      <w:r w:rsidRPr="00230D53">
        <w:rPr>
          <w:rStyle w:val="FootnoteReference"/>
          <w:noProof/>
          <w:szCs w:val="24"/>
          <w:lang w:eastAsia="fr-FR"/>
        </w:rPr>
        <w:footnoteReference w:id="22"/>
      </w:r>
      <w:r w:rsidRPr="00230D53">
        <w:rPr>
          <w:noProof/>
          <w:szCs w:val="24"/>
          <w:lang w:eastAsia="fr-FR"/>
        </w:rPr>
        <w:t xml:space="preserve">. </w:t>
      </w:r>
      <w:r w:rsidRPr="00230D53">
        <w:rPr>
          <w:bCs/>
          <w:noProof/>
          <w:lang w:eastAsia="fr-FR"/>
        </w:rPr>
        <w:t>The</w:t>
      </w:r>
      <w:r w:rsidRPr="00230D53">
        <w:rPr>
          <w:noProof/>
          <w:lang w:eastAsia="fr-FR"/>
        </w:rPr>
        <w:t xml:space="preserve"> Judicial Council raised concerns about the postponement of decisions on the jurisdiction of geographical court units and its potential impact on legal certainty for court users and the overall functioning of the justice system</w:t>
      </w:r>
      <w:r w:rsidRPr="00230D53">
        <w:rPr>
          <w:rStyle w:val="FootnoteReference"/>
          <w:noProof/>
          <w:lang w:eastAsia="fr-FR"/>
        </w:rPr>
        <w:footnoteReference w:id="23"/>
      </w:r>
      <w:r w:rsidRPr="00230D53">
        <w:rPr>
          <w:noProof/>
          <w:lang w:eastAsia="fr-FR"/>
        </w:rPr>
        <w:t>. In February 2026, the Supreme Court President and the Minister of Justice held the first meeting of the umbrella working group, supervising several sub-groups, to ensure a systematic and coordinated implementation of the new judicial legislation, including the new judicial map</w:t>
      </w:r>
      <w:r w:rsidRPr="00230D53">
        <w:rPr>
          <w:rStyle w:val="FootnoteReference"/>
          <w:noProof/>
          <w:lang w:eastAsia="fr-FR"/>
        </w:rPr>
        <w:footnoteReference w:id="24"/>
      </w:r>
      <w:r w:rsidRPr="00230D53">
        <w:rPr>
          <w:noProof/>
          <w:lang w:eastAsia="fr-FR"/>
        </w:rPr>
        <w:t xml:space="preserve">. In parallel, the amendments to the State Prosecution Office Act aligned the title, rights and responsibilities of </w:t>
      </w:r>
      <w:r>
        <w:rPr>
          <w:noProof/>
          <w:lang w:eastAsia="fr-FR"/>
        </w:rPr>
        <w:t>s</w:t>
      </w:r>
      <w:r w:rsidRPr="00230D53">
        <w:rPr>
          <w:noProof/>
          <w:lang w:eastAsia="fr-FR"/>
        </w:rPr>
        <w:t>tate prosecutors with the new framework for judges</w:t>
      </w:r>
      <w:r w:rsidRPr="00230D53">
        <w:rPr>
          <w:rStyle w:val="FootnoteReference"/>
          <w:noProof/>
          <w:lang w:eastAsia="fr-FR"/>
        </w:rPr>
        <w:footnoteReference w:id="25"/>
      </w:r>
      <w:r w:rsidRPr="00230D53">
        <w:rPr>
          <w:noProof/>
          <w:lang w:eastAsia="fr-FR"/>
        </w:rPr>
        <w:t>.</w:t>
      </w:r>
    </w:p>
    <w:p w14:paraId="59D7A5B9" w14:textId="1C383D3A" w:rsidR="001D33E1" w:rsidRPr="00230D53" w:rsidRDefault="001D33E1" w:rsidP="001D33E1">
      <w:pPr>
        <w:rPr>
          <w:noProof/>
          <w:lang w:eastAsia="fr-FR"/>
        </w:rPr>
      </w:pPr>
      <w:r w:rsidRPr="00230D53">
        <w:rPr>
          <w:b/>
          <w:noProof/>
          <w:lang w:eastAsia="fr-FR"/>
        </w:rPr>
        <w:t>Digitalisation of the workflows in courts continued, including on</w:t>
      </w:r>
      <w:r>
        <w:rPr>
          <w:b/>
          <w:noProof/>
          <w:lang w:eastAsia="fr-FR"/>
        </w:rPr>
        <w:t xml:space="preserve"> the</w:t>
      </w:r>
      <w:r w:rsidRPr="00230D53">
        <w:rPr>
          <w:b/>
          <w:noProof/>
          <w:lang w:eastAsia="fr-FR"/>
        </w:rPr>
        <w:t xml:space="preserve"> introduction of new electronic communication tools. </w:t>
      </w:r>
      <w:r w:rsidRPr="00230D53">
        <w:rPr>
          <w:noProof/>
          <w:lang w:eastAsia="fr-FR"/>
        </w:rPr>
        <w:t>All courts have advanced case management tools in place, which also assist the Supreme Court in the allocation of resources</w:t>
      </w:r>
      <w:r w:rsidRPr="00230D53">
        <w:rPr>
          <w:rStyle w:val="FootnoteReference"/>
          <w:noProof/>
          <w:lang w:eastAsia="fr-FR"/>
        </w:rPr>
        <w:footnoteReference w:id="26"/>
      </w:r>
      <w:r w:rsidRPr="00230D53">
        <w:rPr>
          <w:noProof/>
          <w:lang w:eastAsia="fr-FR"/>
        </w:rPr>
        <w:t>. Efforts are ongoing to close the digitalisation gap concerning the electronic communication tools used</w:t>
      </w:r>
      <w:r w:rsidRPr="00230D53" w:rsidDel="00AD089B">
        <w:rPr>
          <w:noProof/>
          <w:lang w:eastAsia="fr-FR"/>
        </w:rPr>
        <w:t xml:space="preserve"> </w:t>
      </w:r>
      <w:r>
        <w:rPr>
          <w:bCs/>
          <w:noProof/>
          <w:lang w:eastAsia="fr-FR"/>
        </w:rPr>
        <w:t>by courts and court users</w:t>
      </w:r>
      <w:r w:rsidRPr="00230D53">
        <w:rPr>
          <w:rStyle w:val="FootnoteReference"/>
          <w:bCs/>
          <w:noProof/>
          <w:lang w:eastAsia="fr-FR"/>
        </w:rPr>
        <w:footnoteReference w:id="27"/>
      </w:r>
      <w:r w:rsidRPr="00230D53">
        <w:rPr>
          <w:bCs/>
          <w:noProof/>
          <w:lang w:eastAsia="fr-FR"/>
        </w:rPr>
        <w:t>.</w:t>
      </w:r>
      <w:r w:rsidRPr="00230D53" w:rsidDel="00331A59">
        <w:rPr>
          <w:noProof/>
          <w:lang w:eastAsia="fr-FR"/>
        </w:rPr>
        <w:t xml:space="preserve"> </w:t>
      </w:r>
      <w:r w:rsidRPr="00230D53">
        <w:rPr>
          <w:noProof/>
          <w:lang w:eastAsia="fr-FR"/>
        </w:rPr>
        <w:t>Since 30 March 2026, court users can file and receive documents electronically in all types of civil cases before first instance civil courts</w:t>
      </w:r>
      <w:r w:rsidRPr="00230D53">
        <w:rPr>
          <w:rStyle w:val="FootnoteReference"/>
          <w:noProof/>
          <w:lang w:eastAsia="fr-FR"/>
        </w:rPr>
        <w:footnoteReference w:id="28"/>
      </w:r>
      <w:r w:rsidRPr="00230D53">
        <w:rPr>
          <w:noProof/>
          <w:lang w:eastAsia="fr-FR"/>
        </w:rPr>
        <w:t xml:space="preserve">. </w:t>
      </w:r>
      <w:r w:rsidR="000104E2" w:rsidRPr="000104E2">
        <w:rPr>
          <w:noProof/>
          <w:lang w:eastAsia="fr-FR"/>
        </w:rPr>
        <w:t>The launch of the new e-Sodstvo portal is scheduled for July 2026. The portal will operate as a single-entry point, providing users with access to electronic judicial services and content that are currently dispersed across various websites. User identification and authentication will be carried out through the national SI-PASS system</w:t>
      </w:r>
      <w:r w:rsidR="000104E2">
        <w:rPr>
          <w:noProof/>
          <w:lang w:eastAsia="fr-FR"/>
        </w:rPr>
        <w:t xml:space="preserve">. </w:t>
      </w:r>
      <w:r w:rsidRPr="00230D53">
        <w:rPr>
          <w:noProof/>
          <w:lang w:eastAsia="fr-FR"/>
        </w:rPr>
        <w:t xml:space="preserve">Speech-to-text systems </w:t>
      </w:r>
      <w:r w:rsidRPr="00230D53">
        <w:rPr>
          <w:bCs/>
          <w:noProof/>
          <w:lang w:eastAsia="fr-FR"/>
        </w:rPr>
        <w:t>are</w:t>
      </w:r>
      <w:r w:rsidRPr="00230D53">
        <w:rPr>
          <w:noProof/>
          <w:lang w:eastAsia="fr-FR"/>
        </w:rPr>
        <w:t xml:space="preserve"> implemented in all courts, with text recognition aided by AI. In 2025, real-time subtitling of court hearings for hearing impaired users was introduced in 19 courtrooms across Slovenia</w:t>
      </w:r>
      <w:r w:rsidRPr="00230D53">
        <w:rPr>
          <w:rStyle w:val="FootnoteReference"/>
          <w:noProof/>
          <w:lang w:eastAsia="fr-FR"/>
        </w:rPr>
        <w:footnoteReference w:id="29"/>
      </w:r>
      <w:r w:rsidRPr="00230D53">
        <w:rPr>
          <w:noProof/>
          <w:lang w:eastAsia="fr-FR"/>
        </w:rPr>
        <w:t>. The Supreme Court developed several IT tools to be introduced by August</w:t>
      </w:r>
      <w:r w:rsidRPr="00230D53" w:rsidDel="0086397A">
        <w:rPr>
          <w:noProof/>
          <w:lang w:eastAsia="fr-FR"/>
        </w:rPr>
        <w:t xml:space="preserve"> </w:t>
      </w:r>
      <w:r w:rsidRPr="00230D53">
        <w:rPr>
          <w:noProof/>
          <w:lang w:eastAsia="fr-FR"/>
        </w:rPr>
        <w:t>2026</w:t>
      </w:r>
      <w:r>
        <w:rPr>
          <w:noProof/>
          <w:lang w:eastAsia="fr-FR"/>
        </w:rPr>
        <w:t>;</w:t>
      </w:r>
      <w:r w:rsidRPr="00230D53">
        <w:rPr>
          <w:noProof/>
          <w:lang w:eastAsia="fr-FR"/>
        </w:rPr>
        <w:t xml:space="preserve"> amongst them</w:t>
      </w:r>
      <w:r>
        <w:rPr>
          <w:noProof/>
          <w:lang w:eastAsia="fr-FR"/>
        </w:rPr>
        <w:t>,</w:t>
      </w:r>
      <w:r w:rsidRPr="00230D53">
        <w:rPr>
          <w:noProof/>
          <w:lang w:eastAsia="fr-FR"/>
        </w:rPr>
        <w:t xml:space="preserve"> the new </w:t>
      </w:r>
      <w:r w:rsidRPr="00230D53">
        <w:rPr>
          <w:bCs/>
          <w:noProof/>
          <w:lang w:eastAsia="fr-FR"/>
        </w:rPr>
        <w:t>Centre</w:t>
      </w:r>
      <w:r w:rsidRPr="00230D53">
        <w:rPr>
          <w:noProof/>
          <w:lang w:eastAsia="fr-FR"/>
        </w:rPr>
        <w:t xml:space="preserve"> for digitising all incoming paper court documents, an eSessions tool to support Supreme Court judges, and the Knowledge database tool incorporating three AI-powered modules</w:t>
      </w:r>
      <w:r w:rsidRPr="00230D53">
        <w:rPr>
          <w:rStyle w:val="FootnoteReference"/>
          <w:noProof/>
          <w:lang w:eastAsia="fr-FR"/>
        </w:rPr>
        <w:footnoteReference w:id="30"/>
      </w:r>
      <w:r w:rsidRPr="00230D53">
        <w:rPr>
          <w:noProof/>
          <w:lang w:eastAsia="fr-FR"/>
        </w:rPr>
        <w:t xml:space="preserve">. </w:t>
      </w:r>
      <w:r w:rsidRPr="00230D53">
        <w:rPr>
          <w:bCs/>
          <w:noProof/>
          <w:lang w:eastAsia="fr-FR"/>
        </w:rPr>
        <w:t>Digitalisation</w:t>
      </w:r>
      <w:r w:rsidRPr="00230D53">
        <w:rPr>
          <w:noProof/>
          <w:lang w:eastAsia="fr-FR"/>
        </w:rPr>
        <w:t xml:space="preserve"> gaps remain in criminal proceedings, particularly in </w:t>
      </w:r>
      <w:r>
        <w:rPr>
          <w:noProof/>
          <w:lang w:eastAsia="fr-FR"/>
        </w:rPr>
        <w:t>s</w:t>
      </w:r>
      <w:r w:rsidRPr="00230D53">
        <w:rPr>
          <w:noProof/>
          <w:lang w:eastAsia="fr-FR"/>
        </w:rPr>
        <w:t>tate prosecution offices</w:t>
      </w:r>
      <w:r>
        <w:rPr>
          <w:bCs/>
          <w:noProof/>
          <w:lang w:eastAsia="fr-FR"/>
        </w:rPr>
        <w:t>;</w:t>
      </w:r>
      <w:r w:rsidRPr="00230D53">
        <w:rPr>
          <w:noProof/>
          <w:lang w:eastAsia="fr-FR"/>
        </w:rPr>
        <w:t xml:space="preserve"> this </w:t>
      </w:r>
      <w:r>
        <w:rPr>
          <w:bCs/>
          <w:noProof/>
          <w:lang w:eastAsia="fr-FR"/>
        </w:rPr>
        <w:t>is expected to</w:t>
      </w:r>
      <w:r w:rsidRPr="00230D53">
        <w:rPr>
          <w:noProof/>
          <w:lang w:eastAsia="fr-FR"/>
        </w:rPr>
        <w:t xml:space="preserve"> be </w:t>
      </w:r>
      <w:r w:rsidRPr="00230D53">
        <w:rPr>
          <w:bCs/>
          <w:noProof/>
          <w:lang w:eastAsia="fr-FR"/>
        </w:rPr>
        <w:t>addressed</w:t>
      </w:r>
      <w:r w:rsidRPr="00230D53">
        <w:rPr>
          <w:noProof/>
          <w:lang w:eastAsia="fr-FR"/>
        </w:rPr>
        <w:t xml:space="preserve"> by the project </w:t>
      </w:r>
      <w:r>
        <w:rPr>
          <w:bCs/>
          <w:noProof/>
          <w:lang w:eastAsia="fr-FR"/>
        </w:rPr>
        <w:t xml:space="preserve">to </w:t>
      </w:r>
      <w:r w:rsidRPr="00230D53">
        <w:rPr>
          <w:bCs/>
          <w:noProof/>
          <w:lang w:eastAsia="fr-FR"/>
        </w:rPr>
        <w:t>upgrad</w:t>
      </w:r>
      <w:r>
        <w:rPr>
          <w:bCs/>
          <w:noProof/>
          <w:lang w:eastAsia="fr-FR"/>
        </w:rPr>
        <w:t>e</w:t>
      </w:r>
      <w:r w:rsidRPr="00230D53">
        <w:rPr>
          <w:noProof/>
          <w:lang w:eastAsia="fr-FR"/>
        </w:rPr>
        <w:t xml:space="preserve"> the electronic equipment, including integrating AI</w:t>
      </w:r>
      <w:r w:rsidRPr="00230D53">
        <w:rPr>
          <w:rStyle w:val="FootnoteReference"/>
          <w:noProof/>
          <w:lang w:eastAsia="fr-FR"/>
        </w:rPr>
        <w:footnoteReference w:id="31"/>
      </w:r>
      <w:r w:rsidRPr="00230D53">
        <w:rPr>
          <w:noProof/>
          <w:lang w:eastAsia="fr-FR"/>
        </w:rPr>
        <w:t xml:space="preserve">. </w:t>
      </w:r>
      <w:r w:rsidRPr="00230D53">
        <w:rPr>
          <w:bCs/>
          <w:noProof/>
          <w:lang w:eastAsia="fr-FR"/>
        </w:rPr>
        <w:t>A pilot</w:t>
      </w:r>
      <w:r w:rsidRPr="00230D53">
        <w:rPr>
          <w:noProof/>
          <w:lang w:eastAsia="fr-FR"/>
        </w:rPr>
        <w:t xml:space="preserve"> project to introduce electronic communication </w:t>
      </w:r>
      <w:r>
        <w:rPr>
          <w:bCs/>
          <w:noProof/>
          <w:lang w:eastAsia="fr-FR"/>
        </w:rPr>
        <w:t>among</w:t>
      </w:r>
      <w:r w:rsidRPr="00230D53">
        <w:rPr>
          <w:bCs/>
          <w:noProof/>
          <w:lang w:eastAsia="fr-FR"/>
        </w:rPr>
        <w:t xml:space="preserve"> </w:t>
      </w:r>
      <w:r w:rsidRPr="00230D53">
        <w:rPr>
          <w:noProof/>
          <w:lang w:eastAsia="fr-FR"/>
        </w:rPr>
        <w:t>courts, state prosecution offices and other participants was postponed to 2026</w:t>
      </w:r>
      <w:r w:rsidRPr="00230D53">
        <w:rPr>
          <w:rStyle w:val="FootnoteReference"/>
          <w:noProof/>
          <w:lang w:eastAsia="fr-FR"/>
        </w:rPr>
        <w:footnoteReference w:id="32"/>
      </w:r>
      <w:r w:rsidRPr="00230D53">
        <w:rPr>
          <w:bCs/>
          <w:noProof/>
          <w:lang w:eastAsia="fr-FR"/>
        </w:rPr>
        <w:t>.</w:t>
      </w:r>
      <w:r w:rsidRPr="00230D53">
        <w:rPr>
          <w:noProof/>
          <w:lang w:eastAsia="fr-FR"/>
        </w:rPr>
        <w:t xml:space="preserve"> Testing of electronic communication between </w:t>
      </w:r>
      <w:r>
        <w:rPr>
          <w:noProof/>
          <w:lang w:eastAsia="fr-FR"/>
        </w:rPr>
        <w:t>s</w:t>
      </w:r>
      <w:r w:rsidRPr="00230D53">
        <w:rPr>
          <w:noProof/>
          <w:lang w:eastAsia="fr-FR"/>
        </w:rPr>
        <w:t>tate prosecution offices and police took place in 2025 but does not yet cover all offices</w:t>
      </w:r>
      <w:r w:rsidRPr="00230D53">
        <w:rPr>
          <w:rStyle w:val="FootnoteReference"/>
          <w:noProof/>
          <w:lang w:eastAsia="fr-FR"/>
        </w:rPr>
        <w:footnoteReference w:id="33"/>
      </w:r>
      <w:r w:rsidRPr="00230D53">
        <w:rPr>
          <w:noProof/>
          <w:lang w:eastAsia="fr-FR"/>
        </w:rPr>
        <w:t xml:space="preserve">. The new Courts Act </w:t>
      </w:r>
      <w:r w:rsidRPr="005E0D82">
        <w:rPr>
          <w:bCs/>
          <w:noProof/>
          <w:lang w:eastAsia="fr-FR"/>
        </w:rPr>
        <w:t xml:space="preserve">mandated the online publication of </w:t>
      </w:r>
      <w:r w:rsidRPr="00230D53">
        <w:rPr>
          <w:noProof/>
          <w:lang w:eastAsia="fr-FR"/>
        </w:rPr>
        <w:t>first instance judgments from January 2027</w:t>
      </w:r>
      <w:r w:rsidRPr="00230D53">
        <w:rPr>
          <w:rStyle w:val="FootnoteReference"/>
          <w:noProof/>
          <w:lang w:eastAsia="fr-FR"/>
        </w:rPr>
        <w:footnoteReference w:id="34"/>
      </w:r>
      <w:r w:rsidRPr="00230D53">
        <w:rPr>
          <w:noProof/>
          <w:lang w:eastAsia="fr-FR"/>
        </w:rPr>
        <w:t>.</w:t>
      </w:r>
    </w:p>
    <w:p w14:paraId="40FD8206" w14:textId="758943F2" w:rsidR="001D33E1" w:rsidRPr="00230D53" w:rsidRDefault="001D33E1" w:rsidP="001D33E1">
      <w:pPr>
        <w:rPr>
          <w:b/>
          <w:noProof/>
          <w:szCs w:val="24"/>
          <w:lang w:eastAsia="fr-FR"/>
        </w:rPr>
      </w:pPr>
      <w:r>
        <w:rPr>
          <w:b/>
          <w:noProof/>
          <w:szCs w:val="24"/>
          <w:lang w:eastAsia="fr-FR"/>
        </w:rPr>
        <w:t>While salaries of judges and state prosecutors are being gradually increased by 2028, questions have been raised about their level.</w:t>
      </w:r>
      <w:r w:rsidRPr="00230D53">
        <w:rPr>
          <w:b/>
          <w:noProof/>
          <w:szCs w:val="24"/>
          <w:lang w:eastAsia="fr-FR"/>
        </w:rPr>
        <w:t xml:space="preserve"> </w:t>
      </w:r>
      <w:r w:rsidRPr="00230D53">
        <w:rPr>
          <w:noProof/>
          <w:szCs w:val="24"/>
          <w:lang w:eastAsia="fr-FR"/>
        </w:rPr>
        <w:t xml:space="preserve">As previously reported, the salaries of judges and </w:t>
      </w:r>
      <w:r>
        <w:rPr>
          <w:noProof/>
          <w:szCs w:val="24"/>
          <w:lang w:eastAsia="fr-FR"/>
        </w:rPr>
        <w:t>s</w:t>
      </w:r>
      <w:r w:rsidRPr="00230D53">
        <w:rPr>
          <w:noProof/>
          <w:szCs w:val="24"/>
          <w:lang w:eastAsia="fr-FR"/>
        </w:rPr>
        <w:t xml:space="preserve">tate prosecutors </w:t>
      </w:r>
      <w:r>
        <w:rPr>
          <w:noProof/>
          <w:szCs w:val="24"/>
          <w:lang w:eastAsia="fr-FR"/>
        </w:rPr>
        <w:t>are being gradually increased between</w:t>
      </w:r>
      <w:r w:rsidRPr="00230D53">
        <w:rPr>
          <w:noProof/>
          <w:szCs w:val="24"/>
          <w:lang w:eastAsia="fr-FR"/>
        </w:rPr>
        <w:t xml:space="preserve"> January 2025 and January 2028</w:t>
      </w:r>
      <w:r>
        <w:rPr>
          <w:noProof/>
          <w:szCs w:val="24"/>
          <w:lang w:eastAsia="fr-FR"/>
        </w:rPr>
        <w:t xml:space="preserve"> as provided for by the </w:t>
      </w:r>
      <w:r w:rsidRPr="00230D53">
        <w:rPr>
          <w:noProof/>
          <w:szCs w:val="24"/>
          <w:lang w:eastAsia="fr-FR"/>
        </w:rPr>
        <w:t>Public Sector Salary System Act</w:t>
      </w:r>
      <w:r w:rsidRPr="00230D53">
        <w:rPr>
          <w:rStyle w:val="FootnoteReference"/>
          <w:noProof/>
          <w:szCs w:val="24"/>
          <w:lang w:eastAsia="fr-FR"/>
        </w:rPr>
        <w:footnoteReference w:id="35"/>
      </w:r>
      <w:r w:rsidRPr="00230D53">
        <w:rPr>
          <w:noProof/>
          <w:szCs w:val="24"/>
          <w:lang w:eastAsia="fr-FR"/>
        </w:rPr>
        <w:t xml:space="preserve">. </w:t>
      </w:r>
      <w:r>
        <w:rPr>
          <w:noProof/>
          <w:szCs w:val="24"/>
          <w:lang w:eastAsia="fr-FR"/>
        </w:rPr>
        <w:t>The law also provides for</w:t>
      </w:r>
      <w:r w:rsidRPr="00230D53">
        <w:rPr>
          <w:noProof/>
          <w:szCs w:val="24"/>
          <w:lang w:eastAsia="fr-FR"/>
        </w:rPr>
        <w:t xml:space="preserve"> an automatic indexation mechanism</w:t>
      </w:r>
      <w:r w:rsidRPr="00230D53">
        <w:rPr>
          <w:rStyle w:val="FootnoteReference"/>
          <w:noProof/>
          <w:szCs w:val="24"/>
          <w:lang w:eastAsia="fr-FR"/>
        </w:rPr>
        <w:footnoteReference w:id="36"/>
      </w:r>
      <w:r w:rsidRPr="00230D53">
        <w:rPr>
          <w:noProof/>
          <w:szCs w:val="24"/>
          <w:lang w:eastAsia="fr-FR"/>
        </w:rPr>
        <w:t>. In January 2026, the Judicial Council request</w:t>
      </w:r>
      <w:r>
        <w:rPr>
          <w:noProof/>
          <w:szCs w:val="24"/>
          <w:lang w:eastAsia="fr-FR"/>
        </w:rPr>
        <w:t>ed</w:t>
      </w:r>
      <w:r w:rsidRPr="00230D53" w:rsidDel="00B241AF">
        <w:rPr>
          <w:noProof/>
          <w:szCs w:val="24"/>
          <w:lang w:eastAsia="fr-FR"/>
        </w:rPr>
        <w:t xml:space="preserve"> </w:t>
      </w:r>
      <w:r w:rsidRPr="00230D53">
        <w:rPr>
          <w:noProof/>
          <w:szCs w:val="24"/>
          <w:lang w:eastAsia="fr-FR"/>
        </w:rPr>
        <w:t>the Constitutional Court to review the constitutionality of the Common Foundations of the Public Sector Salary System Act as far as it concerns the salaries of judges</w:t>
      </w:r>
      <w:r>
        <w:rPr>
          <w:noProof/>
          <w:szCs w:val="24"/>
          <w:lang w:eastAsia="fr-FR"/>
        </w:rPr>
        <w:t>, as it considers there is an</w:t>
      </w:r>
      <w:r w:rsidRPr="007321F3">
        <w:rPr>
          <w:noProof/>
          <w:szCs w:val="24"/>
          <w:lang w:eastAsia="fr-FR"/>
        </w:rPr>
        <w:t xml:space="preserve"> unjustified difference with the salaries of </w:t>
      </w:r>
      <w:r>
        <w:rPr>
          <w:noProof/>
          <w:szCs w:val="24"/>
          <w:lang w:eastAsia="fr-FR"/>
        </w:rPr>
        <w:t>m</w:t>
      </w:r>
      <w:r w:rsidRPr="007321F3">
        <w:rPr>
          <w:noProof/>
          <w:szCs w:val="24"/>
          <w:lang w:eastAsia="fr-FR"/>
        </w:rPr>
        <w:t>embers of Parliament, and inadequate alignment with inflation</w:t>
      </w:r>
      <w:r w:rsidRPr="00230D53">
        <w:rPr>
          <w:rStyle w:val="FootnoteReference"/>
          <w:noProof/>
          <w:szCs w:val="24"/>
          <w:lang w:eastAsia="fr-FR"/>
        </w:rPr>
        <w:footnoteReference w:id="37"/>
      </w:r>
      <w:r w:rsidRPr="00230D53">
        <w:rPr>
          <w:noProof/>
          <w:szCs w:val="24"/>
          <w:lang w:eastAsia="fr-FR"/>
        </w:rPr>
        <w:t>.</w:t>
      </w:r>
    </w:p>
    <w:p w14:paraId="5871F586" w14:textId="10C1AEC9" w:rsidR="001D33E1" w:rsidRPr="00230D53" w:rsidRDefault="001D33E1" w:rsidP="001D33E1">
      <w:pPr>
        <w:rPr>
          <w:noProof/>
          <w:lang w:eastAsia="fr-FR"/>
        </w:rPr>
      </w:pPr>
      <w:r w:rsidRPr="3F22C5D7">
        <w:rPr>
          <w:b/>
          <w:noProof/>
          <w:lang w:eastAsia="fr-FR"/>
        </w:rPr>
        <w:t>The Bar Association is challenging the lawyers’ fees for legal aid cases before the Administrative Court.</w:t>
      </w:r>
      <w:r w:rsidRPr="3F22C5D7">
        <w:rPr>
          <w:noProof/>
          <w:lang w:eastAsia="fr-FR"/>
        </w:rPr>
        <w:t xml:space="preserve"> The fee, which sets the basis for remuneration of lawyers when working in legal aid cases and for the legal costs borne by the losing party in civil cases, has not been changed since 2019, despite the cumulative inflation reaching more than 26% by December 2025</w:t>
      </w:r>
      <w:r w:rsidRPr="3F22C5D7">
        <w:rPr>
          <w:rStyle w:val="FootnoteReference"/>
          <w:noProof/>
          <w:lang w:eastAsia="fr-FR"/>
        </w:rPr>
        <w:footnoteReference w:id="38"/>
      </w:r>
      <w:r w:rsidRPr="3F22C5D7">
        <w:rPr>
          <w:noProof/>
          <w:lang w:eastAsia="fr-FR"/>
        </w:rPr>
        <w:t>. Since 2022, the Bar Association has repeatedly called on the Ministry of Justice to increase the fees. In October 2025, the Administrative Court, on the Bar Association’s initiative, ordered the Ministry of Justice to respond to the request, and in January 2026, the Ministry rejected the requested increase</w:t>
      </w:r>
      <w:r w:rsidRPr="3F22C5D7">
        <w:rPr>
          <w:rStyle w:val="FootnoteReference"/>
          <w:noProof/>
          <w:lang w:eastAsia="fr-FR"/>
        </w:rPr>
        <w:footnoteReference w:id="39"/>
      </w:r>
      <w:r w:rsidRPr="3F22C5D7">
        <w:rPr>
          <w:noProof/>
          <w:lang w:eastAsia="fr-FR"/>
        </w:rPr>
        <w:t>. Subsequently, the Bar Association in February 2026 challenged the level of lawyers’ fees before the Administrative Court; the court’s decision is pending.</w:t>
      </w:r>
      <w:r w:rsidR="00B217ED">
        <w:rPr>
          <w:noProof/>
          <w:lang w:eastAsia="fr-FR"/>
        </w:rPr>
        <w:t xml:space="preserve"> </w:t>
      </w:r>
      <w:r w:rsidR="00B217ED">
        <w:rPr>
          <w:noProof/>
          <w:szCs w:val="24"/>
          <w:lang w:eastAsia="fr-FR"/>
        </w:rPr>
        <w:t xml:space="preserve">The </w:t>
      </w:r>
      <w:r w:rsidR="00B217ED" w:rsidRPr="00C56026">
        <w:rPr>
          <w:noProof/>
          <w:szCs w:val="24"/>
          <w:lang w:eastAsia="fr-FR"/>
        </w:rPr>
        <w:t xml:space="preserve">Ministry of Justice </w:t>
      </w:r>
      <w:r w:rsidR="00B217ED">
        <w:rPr>
          <w:noProof/>
          <w:szCs w:val="24"/>
          <w:lang w:eastAsia="fr-FR"/>
        </w:rPr>
        <w:t xml:space="preserve">stated it </w:t>
      </w:r>
      <w:r w:rsidR="00B217ED" w:rsidRPr="00C56026">
        <w:rPr>
          <w:noProof/>
          <w:szCs w:val="24"/>
          <w:lang w:eastAsia="fr-FR"/>
        </w:rPr>
        <w:t>will continue to seek a solution that would</w:t>
      </w:r>
      <w:r w:rsidR="00B217ED" w:rsidRPr="00FF4525">
        <w:rPr>
          <w:noProof/>
          <w:szCs w:val="24"/>
          <w:lang w:eastAsia="fr-FR"/>
        </w:rPr>
        <w:t xml:space="preserve"> </w:t>
      </w:r>
      <w:r w:rsidR="00B217ED" w:rsidRPr="00C56026">
        <w:rPr>
          <w:noProof/>
          <w:szCs w:val="24"/>
          <w:lang w:eastAsia="fr-FR"/>
        </w:rPr>
        <w:t>allow for the adjustment of the value of the attorney’s fee point, while taking into account public finance constraints, the principle of sustainable public spending, and the status of the legal profession as an autonomous and independent service</w:t>
      </w:r>
      <w:r w:rsidR="00B217ED">
        <w:rPr>
          <w:noProof/>
          <w:szCs w:val="24"/>
          <w:lang w:eastAsia="fr-FR"/>
        </w:rPr>
        <w:t>.</w:t>
      </w:r>
    </w:p>
    <w:p w14:paraId="26E4EB40" w14:textId="77777777" w:rsidR="001D33E1" w:rsidRPr="00230D53" w:rsidRDefault="001D33E1" w:rsidP="00053759">
      <w:pPr>
        <w:pStyle w:val="Heading2"/>
        <w:numPr>
          <w:ilvl w:val="0"/>
          <w:numId w:val="0"/>
        </w:numPr>
        <w:rPr>
          <w:noProof/>
        </w:rPr>
      </w:pPr>
      <w:r w:rsidRPr="00230D53">
        <w:rPr>
          <w:noProof/>
        </w:rPr>
        <w:t>Efficiency</w:t>
      </w:r>
    </w:p>
    <w:p w14:paraId="3721BA5C" w14:textId="2379E6F3" w:rsidR="001D33E1" w:rsidRPr="00230D53" w:rsidRDefault="001D33E1" w:rsidP="001D33E1">
      <w:pPr>
        <w:rPr>
          <w:noProof/>
          <w:lang w:eastAsia="fr-FR"/>
        </w:rPr>
      </w:pPr>
      <w:r>
        <w:rPr>
          <w:b/>
          <w:noProof/>
          <w:lang w:eastAsia="fr-FR"/>
        </w:rPr>
        <w:t>While</w:t>
      </w:r>
      <w:r w:rsidRPr="00230D53">
        <w:rPr>
          <w:b/>
          <w:noProof/>
          <w:lang w:eastAsia="fr-FR"/>
        </w:rPr>
        <w:t xml:space="preserve"> the number of resolved cases</w:t>
      </w:r>
      <w:r>
        <w:rPr>
          <w:b/>
          <w:noProof/>
          <w:lang w:eastAsia="fr-FR"/>
        </w:rPr>
        <w:t xml:space="preserve"> r</w:t>
      </w:r>
      <w:r w:rsidRPr="00FB0C2E">
        <w:rPr>
          <w:b/>
          <w:noProof/>
          <w:lang w:eastAsia="fr-FR"/>
        </w:rPr>
        <w:t>emained broadly stable</w:t>
      </w:r>
      <w:r w:rsidRPr="00230D53">
        <w:rPr>
          <w:b/>
          <w:noProof/>
          <w:lang w:eastAsia="fr-FR"/>
        </w:rPr>
        <w:t xml:space="preserve">, the </w:t>
      </w:r>
      <w:r>
        <w:rPr>
          <w:b/>
          <w:noProof/>
          <w:lang w:eastAsia="fr-FR"/>
        </w:rPr>
        <w:t>overall</w:t>
      </w:r>
      <w:r w:rsidRPr="00230D53">
        <w:rPr>
          <w:b/>
          <w:noProof/>
          <w:lang w:eastAsia="fr-FR"/>
        </w:rPr>
        <w:t xml:space="preserve"> backlog further increased and the length of trials remain</w:t>
      </w:r>
      <w:r>
        <w:rPr>
          <w:b/>
          <w:noProof/>
          <w:lang w:eastAsia="fr-FR"/>
        </w:rPr>
        <w:t>ed</w:t>
      </w:r>
      <w:r w:rsidRPr="00230D53">
        <w:rPr>
          <w:b/>
          <w:noProof/>
          <w:lang w:eastAsia="fr-FR"/>
        </w:rPr>
        <w:t xml:space="preserve"> a challenge, particularly in money laundering and corruption cases.</w:t>
      </w:r>
      <w:r w:rsidRPr="00230D53">
        <w:rPr>
          <w:noProof/>
          <w:lang w:eastAsia="fr-FR"/>
        </w:rPr>
        <w:t xml:space="preserve"> The justice system continued to function efficiently in general, </w:t>
      </w:r>
      <w:r w:rsidRPr="00230D53">
        <w:rPr>
          <w:bCs/>
          <w:noProof/>
          <w:lang w:eastAsia="fr-FR"/>
        </w:rPr>
        <w:t>compared to 2024</w:t>
      </w:r>
      <w:r w:rsidRPr="00230D53">
        <w:rPr>
          <w:noProof/>
          <w:lang w:eastAsia="fr-FR"/>
        </w:rPr>
        <w:t xml:space="preserve"> data, except in administrative cases, where further increases in caseload have caused challenges</w:t>
      </w:r>
      <w:r w:rsidRPr="00230D53">
        <w:rPr>
          <w:rStyle w:val="FootnoteReference"/>
          <w:noProof/>
          <w:lang w:eastAsia="fr-FR"/>
        </w:rPr>
        <w:footnoteReference w:id="40"/>
      </w:r>
      <w:r w:rsidRPr="00230D53">
        <w:rPr>
          <w:noProof/>
          <w:lang w:eastAsia="fr-FR"/>
        </w:rPr>
        <w:t>. In 2025, the total backlog of court cases further increased by 3%, despite the caseload decreasing by 1%, while the number of resolved cases, following the Supreme Court’s efforts</w:t>
      </w:r>
      <w:r w:rsidRPr="00230D53">
        <w:rPr>
          <w:bCs/>
          <w:noProof/>
          <w:lang w:eastAsia="fr-FR"/>
        </w:rPr>
        <w:t xml:space="preserve">, </w:t>
      </w:r>
      <w:r>
        <w:rPr>
          <w:bCs/>
          <w:noProof/>
          <w:lang w:eastAsia="fr-FR"/>
        </w:rPr>
        <w:t>remained broadly stable</w:t>
      </w:r>
      <w:r w:rsidRPr="00230D53">
        <w:rPr>
          <w:rStyle w:val="FootnoteReference"/>
          <w:bCs/>
          <w:noProof/>
          <w:lang w:eastAsia="fr-FR"/>
        </w:rPr>
        <w:footnoteReference w:id="41"/>
      </w:r>
      <w:r w:rsidRPr="00230D53">
        <w:rPr>
          <w:bCs/>
          <w:noProof/>
          <w:lang w:eastAsia="fr-FR"/>
        </w:rPr>
        <w:t>.</w:t>
      </w:r>
      <w:r w:rsidRPr="00230D53">
        <w:rPr>
          <w:noProof/>
          <w:lang w:eastAsia="fr-FR"/>
        </w:rPr>
        <w:t xml:space="preserve"> </w:t>
      </w:r>
      <w:r>
        <w:rPr>
          <w:noProof/>
          <w:lang w:eastAsia="fr-FR"/>
        </w:rPr>
        <w:t>The Supreme Court raised concentrating the court hearings as a possible solution for expediting the proceedings</w:t>
      </w:r>
      <w:r>
        <w:rPr>
          <w:rStyle w:val="FootnoteReference"/>
          <w:noProof/>
          <w:lang w:eastAsia="fr-FR"/>
        </w:rPr>
        <w:footnoteReference w:id="42"/>
      </w:r>
      <w:r>
        <w:rPr>
          <w:noProof/>
          <w:lang w:eastAsia="fr-FR"/>
        </w:rPr>
        <w:t xml:space="preserve">. </w:t>
      </w:r>
      <w:r>
        <w:rPr>
          <w:bCs/>
          <w:noProof/>
          <w:lang w:eastAsia="fr-FR"/>
        </w:rPr>
        <w:t xml:space="preserve">The overall backlog increased for </w:t>
      </w:r>
      <w:r w:rsidRPr="00230D53">
        <w:rPr>
          <w:noProof/>
          <w:lang w:eastAsia="fr-FR"/>
        </w:rPr>
        <w:t>courts</w:t>
      </w:r>
      <w:r>
        <w:rPr>
          <w:bCs/>
          <w:noProof/>
          <w:lang w:eastAsia="fr-FR"/>
        </w:rPr>
        <w:t xml:space="preserve"> with the </w:t>
      </w:r>
      <w:r w:rsidRPr="00230D53">
        <w:rPr>
          <w:bCs/>
          <w:noProof/>
          <w:lang w:eastAsia="fr-FR"/>
        </w:rPr>
        <w:t>except</w:t>
      </w:r>
      <w:r>
        <w:rPr>
          <w:bCs/>
          <w:noProof/>
          <w:lang w:eastAsia="fr-FR"/>
        </w:rPr>
        <w:t>ion of</w:t>
      </w:r>
      <w:r w:rsidRPr="00230D53">
        <w:rPr>
          <w:noProof/>
          <w:lang w:eastAsia="fr-FR"/>
        </w:rPr>
        <w:t xml:space="preserve"> the Supreme Court, Local, and Labour and Social courts</w:t>
      </w:r>
      <w:r w:rsidRPr="00230D53">
        <w:rPr>
          <w:bCs/>
          <w:noProof/>
          <w:lang w:eastAsia="fr-FR"/>
        </w:rPr>
        <w:t>.</w:t>
      </w:r>
      <w:r w:rsidRPr="00230D53">
        <w:rPr>
          <w:noProof/>
          <w:lang w:eastAsia="fr-FR"/>
        </w:rPr>
        <w:t xml:space="preserve"> In 2025, the average length of proceedings at first instance courts improved in civil cases, remained stable in commercial cases and increased in criminal cases</w:t>
      </w:r>
      <w:r w:rsidRPr="00230D53">
        <w:rPr>
          <w:rStyle w:val="FootnoteReference"/>
          <w:noProof/>
          <w:lang w:eastAsia="fr-FR"/>
        </w:rPr>
        <w:footnoteReference w:id="43"/>
      </w:r>
      <w:r w:rsidRPr="00230D53">
        <w:rPr>
          <w:noProof/>
          <w:lang w:eastAsia="fr-FR"/>
        </w:rPr>
        <w:t xml:space="preserve">. The time needed for the first instance courts to conduct the first hearing stagnated, taking up to 21 months in civil and 16 months in commercial cases. At first instance criminal courts, the average length in </w:t>
      </w:r>
      <w:r w:rsidRPr="00203ED8">
        <w:rPr>
          <w:noProof/>
          <w:lang w:eastAsia="fr-FR"/>
        </w:rPr>
        <w:t>2024</w:t>
      </w:r>
      <w:r w:rsidRPr="009F5C0A">
        <w:rPr>
          <w:noProof/>
          <w:lang w:eastAsia="fr-FR"/>
        </w:rPr>
        <w:t xml:space="preserve"> </w:t>
      </w:r>
      <w:r w:rsidRPr="00203ED8">
        <w:rPr>
          <w:noProof/>
          <w:lang w:eastAsia="fr-FR"/>
        </w:rPr>
        <w:t xml:space="preserve">decreased to </w:t>
      </w:r>
      <w:r w:rsidRPr="009F5C0A">
        <w:rPr>
          <w:noProof/>
          <w:lang w:eastAsia="fr-FR"/>
        </w:rPr>
        <w:t xml:space="preserve">739 days in money laundering offences (926 days in </w:t>
      </w:r>
      <w:r w:rsidRPr="00203ED8">
        <w:rPr>
          <w:noProof/>
          <w:lang w:eastAsia="fr-FR"/>
        </w:rPr>
        <w:t>2023</w:t>
      </w:r>
      <w:r w:rsidRPr="009F5C0A">
        <w:rPr>
          <w:noProof/>
          <w:lang w:eastAsia="fr-FR"/>
        </w:rPr>
        <w:t>) and increased in corruption offences (597 days) – remaining the fifth</w:t>
      </w:r>
      <w:r w:rsidRPr="00230D53">
        <w:rPr>
          <w:noProof/>
          <w:lang w:eastAsia="fr-FR"/>
        </w:rPr>
        <w:t xml:space="preserve"> and </w:t>
      </w:r>
      <w:r>
        <w:rPr>
          <w:noProof/>
          <w:lang w:eastAsia="fr-FR"/>
        </w:rPr>
        <w:t>third</w:t>
      </w:r>
      <w:r w:rsidRPr="00230D53">
        <w:rPr>
          <w:noProof/>
          <w:lang w:eastAsia="fr-FR"/>
        </w:rPr>
        <w:t xml:space="preserve"> longest in the EU</w:t>
      </w:r>
      <w:r>
        <w:rPr>
          <w:noProof/>
          <w:lang w:eastAsia="fr-FR"/>
        </w:rPr>
        <w:t>, respectively</w:t>
      </w:r>
      <w:r w:rsidRPr="00230D53">
        <w:rPr>
          <w:rStyle w:val="FootnoteReference"/>
          <w:noProof/>
          <w:lang w:eastAsia="fr-FR"/>
        </w:rPr>
        <w:footnoteReference w:id="44"/>
      </w:r>
      <w:r w:rsidRPr="00230D53">
        <w:rPr>
          <w:noProof/>
          <w:lang w:eastAsia="fr-FR"/>
        </w:rPr>
        <w:t>. The continued increase in the administrative courts’ caseload (by 2% in 2025, compared to 2024)</w:t>
      </w:r>
      <w:r w:rsidR="000E0160" w:rsidRPr="000E0160">
        <w:rPr>
          <w:noProof/>
        </w:rPr>
        <w:t xml:space="preserve"> </w:t>
      </w:r>
      <w:r w:rsidR="000E0160" w:rsidRPr="000E0160">
        <w:rPr>
          <w:noProof/>
          <w:lang w:eastAsia="fr-FR"/>
        </w:rPr>
        <w:t>is partly due to new competences of the court, introduced by different legislative amendments. Alongside a high load of priority cases</w:t>
      </w:r>
      <w:r w:rsidR="008E4D16">
        <w:rPr>
          <w:noProof/>
          <w:lang w:eastAsia="fr-FR"/>
        </w:rPr>
        <w:t>, this</w:t>
      </w:r>
      <w:r w:rsidRPr="00230D53">
        <w:rPr>
          <w:noProof/>
          <w:lang w:eastAsia="fr-FR"/>
        </w:rPr>
        <w:t xml:space="preserve"> has led to a further increase in pending cases (by 2% year-end 2025), despite a further 4% increase in resolved cases. </w:t>
      </w:r>
    </w:p>
    <w:p w14:paraId="23F73989" w14:textId="7D26BAE6" w:rsidR="001D33E1" w:rsidRPr="00230D53" w:rsidRDefault="001D33E1" w:rsidP="001D33E1">
      <w:pPr>
        <w:rPr>
          <w:bCs/>
          <w:noProof/>
          <w:lang w:eastAsia="fr-FR"/>
        </w:rPr>
      </w:pPr>
      <w:r w:rsidRPr="00230D53">
        <w:rPr>
          <w:b/>
          <w:noProof/>
          <w:lang w:eastAsia="fr-FR"/>
        </w:rPr>
        <w:t xml:space="preserve">The measures to address the Constitutional Court’s caseload have contributed to a significant reduction in backlog. </w:t>
      </w:r>
      <w:r w:rsidRPr="00230D53">
        <w:rPr>
          <w:bCs/>
          <w:noProof/>
          <w:lang w:eastAsia="fr-FR"/>
        </w:rPr>
        <w:t>As previously reported, the Constitutional Court has been raising concerns about its considerable caseload, which prevented the Court from dedicating more attention to the most constitutionally relevant cases</w:t>
      </w:r>
      <w:r w:rsidRPr="00230D53">
        <w:rPr>
          <w:rStyle w:val="FootnoteReference"/>
          <w:bCs/>
          <w:noProof/>
          <w:lang w:eastAsia="fr-FR"/>
        </w:rPr>
        <w:footnoteReference w:id="45"/>
      </w:r>
      <w:r w:rsidRPr="00230D53">
        <w:rPr>
          <w:bCs/>
          <w:noProof/>
          <w:lang w:eastAsia="fr-FR"/>
        </w:rPr>
        <w:t xml:space="preserve">. In 2025, the Constitutional Court again </w:t>
      </w:r>
      <w:r>
        <w:rPr>
          <w:bCs/>
          <w:noProof/>
          <w:lang w:eastAsia="fr-FR"/>
        </w:rPr>
        <w:t>further</w:t>
      </w:r>
      <w:r w:rsidRPr="00230D53">
        <w:rPr>
          <w:bCs/>
          <w:noProof/>
          <w:lang w:eastAsia="fr-FR"/>
        </w:rPr>
        <w:t xml:space="preserve"> reduced its backlog by 25%, including the oldest pending cases</w:t>
      </w:r>
      <w:r>
        <w:rPr>
          <w:bCs/>
          <w:noProof/>
          <w:lang w:eastAsia="fr-FR"/>
        </w:rPr>
        <w:t>, while it also received nearly 21% fewer cases</w:t>
      </w:r>
      <w:r w:rsidRPr="00230D53">
        <w:rPr>
          <w:rStyle w:val="FootnoteReference"/>
          <w:bCs/>
          <w:noProof/>
          <w:lang w:eastAsia="fr-FR"/>
        </w:rPr>
        <w:footnoteReference w:id="46"/>
      </w:r>
      <w:r w:rsidRPr="00230D53">
        <w:rPr>
          <w:bCs/>
          <w:noProof/>
          <w:lang w:eastAsia="fr-FR"/>
        </w:rPr>
        <w:t xml:space="preserve">. In 2025, the average time needed to conclude a constitutionality review before the Constitutional Court decreased to </w:t>
      </w:r>
      <w:r w:rsidR="003B20CA" w:rsidRPr="003B20CA">
        <w:rPr>
          <w:bCs/>
          <w:noProof/>
          <w:lang w:eastAsia="fr-FR"/>
        </w:rPr>
        <w:t xml:space="preserve">456 </w:t>
      </w:r>
      <w:r w:rsidRPr="00230D53">
        <w:rPr>
          <w:bCs/>
          <w:noProof/>
          <w:lang w:eastAsia="fr-FR"/>
        </w:rPr>
        <w:t xml:space="preserve">days (472 in 2024) while constitutional complaints took around </w:t>
      </w:r>
      <w:r w:rsidR="003C5705" w:rsidRPr="003C5705">
        <w:rPr>
          <w:bCs/>
          <w:noProof/>
          <w:lang w:eastAsia="fr-FR"/>
        </w:rPr>
        <w:t xml:space="preserve">379 </w:t>
      </w:r>
      <w:r w:rsidRPr="00230D53">
        <w:rPr>
          <w:bCs/>
          <w:noProof/>
          <w:lang w:eastAsia="fr-FR"/>
        </w:rPr>
        <w:t>days on average (460 in 2024)</w:t>
      </w:r>
      <w:r w:rsidRPr="00230D53">
        <w:rPr>
          <w:rStyle w:val="FootnoteReference"/>
          <w:bCs/>
          <w:noProof/>
          <w:lang w:eastAsia="fr-FR"/>
        </w:rPr>
        <w:footnoteReference w:id="47"/>
      </w:r>
      <w:r w:rsidRPr="00230D53">
        <w:rPr>
          <w:bCs/>
          <w:noProof/>
          <w:lang w:eastAsia="fr-FR"/>
        </w:rPr>
        <w:t xml:space="preserve">. As reported in 2025, following a call by the Constitutional Court, </w:t>
      </w:r>
      <w:r w:rsidR="00BE2814">
        <w:rPr>
          <w:bCs/>
          <w:noProof/>
          <w:lang w:eastAsia="fr-FR"/>
        </w:rPr>
        <w:t xml:space="preserve">former </w:t>
      </w:r>
      <w:r w:rsidRPr="00230D53">
        <w:rPr>
          <w:bCs/>
          <w:noProof/>
          <w:lang w:eastAsia="fr-FR"/>
        </w:rPr>
        <w:t>Parliament adopted amendments allowing the Court to establish the incompatibility of office of its members</w:t>
      </w:r>
      <w:r w:rsidRPr="00230D53">
        <w:rPr>
          <w:rStyle w:val="FootnoteReference"/>
          <w:bCs/>
          <w:noProof/>
          <w:lang w:eastAsia="fr-FR"/>
        </w:rPr>
        <w:footnoteReference w:id="48"/>
      </w:r>
      <w:r w:rsidRPr="00230D53">
        <w:rPr>
          <w:bCs/>
          <w:noProof/>
          <w:lang w:eastAsia="fr-FR"/>
        </w:rPr>
        <w:t>. Until March 2026, no such procedures were conducted</w:t>
      </w:r>
      <w:r w:rsidRPr="00230D53">
        <w:rPr>
          <w:rStyle w:val="FootnoteReference"/>
          <w:bCs/>
          <w:noProof/>
          <w:lang w:eastAsia="fr-FR"/>
        </w:rPr>
        <w:footnoteReference w:id="49"/>
      </w:r>
      <w:r w:rsidRPr="00230D53">
        <w:rPr>
          <w:bCs/>
          <w:noProof/>
          <w:lang w:eastAsia="fr-FR"/>
        </w:rPr>
        <w:t>.</w:t>
      </w:r>
    </w:p>
    <w:p w14:paraId="5E66F5A3" w14:textId="769FEB11" w:rsidR="001D33E1" w:rsidRPr="00053759" w:rsidRDefault="001D33E1" w:rsidP="00045904">
      <w:pPr>
        <w:pStyle w:val="Heading1"/>
        <w:numPr>
          <w:ilvl w:val="0"/>
          <w:numId w:val="40"/>
        </w:numPr>
        <w:spacing w:before="0"/>
        <w:rPr>
          <w:noProof/>
          <w:u w:val="single"/>
        </w:rPr>
      </w:pPr>
      <w:r w:rsidRPr="00053759">
        <w:rPr>
          <w:noProof/>
          <w:u w:val="single"/>
        </w:rPr>
        <w:t>Anti-Corruption Framework</w:t>
      </w:r>
      <w:r w:rsidRPr="00053759" w:rsidDel="00D67844">
        <w:rPr>
          <w:noProof/>
          <w:u w:val="single"/>
        </w:rPr>
        <w:t xml:space="preserve"> </w:t>
      </w:r>
    </w:p>
    <w:p w14:paraId="2EEA6940" w14:textId="77777777" w:rsidR="001D33E1" w:rsidRDefault="001D33E1" w:rsidP="001D33E1">
      <w:pPr>
        <w:rPr>
          <w:noProof/>
          <w:lang w:eastAsia="fr-FR"/>
        </w:rPr>
      </w:pPr>
      <w:r w:rsidRPr="15CFD903">
        <w:rPr>
          <w:b/>
          <w:noProof/>
        </w:rPr>
        <w:t xml:space="preserve">The perception among experts, citizens and business executives is that the level of corruption in the public sector remains </w:t>
      </w:r>
      <w:r>
        <w:rPr>
          <w:b/>
          <w:noProof/>
        </w:rPr>
        <w:t>relatively high.</w:t>
      </w:r>
      <w:r w:rsidRPr="2AD459D5">
        <w:rPr>
          <w:b/>
          <w:noProof/>
          <w:lang w:eastAsia="fr-FR"/>
        </w:rPr>
        <w:t xml:space="preserve"> </w:t>
      </w:r>
      <w:r w:rsidRPr="2AD459D5">
        <w:rPr>
          <w:noProof/>
          <w:lang w:eastAsia="fr-FR"/>
        </w:rPr>
        <w:t xml:space="preserve">In the 2025 Corruption Perceptions Index by Transparency International, </w:t>
      </w:r>
      <w:r>
        <w:rPr>
          <w:noProof/>
          <w:lang w:eastAsia="fr-FR"/>
        </w:rPr>
        <w:t xml:space="preserve">Slovenia </w:t>
      </w:r>
      <w:r w:rsidRPr="2AD459D5">
        <w:rPr>
          <w:noProof/>
          <w:lang w:eastAsia="fr-FR"/>
        </w:rPr>
        <w:t xml:space="preserve">scores </w:t>
      </w:r>
      <w:r>
        <w:rPr>
          <w:noProof/>
          <w:lang w:eastAsia="fr-FR"/>
        </w:rPr>
        <w:t>58</w:t>
      </w:r>
      <w:r w:rsidRPr="2AD459D5">
        <w:rPr>
          <w:noProof/>
          <w:lang w:eastAsia="fr-FR"/>
        </w:rPr>
        <w:t xml:space="preserve">/100 and ranks </w:t>
      </w:r>
      <w:r>
        <w:rPr>
          <w:noProof/>
          <w:lang w:eastAsia="fr-FR"/>
        </w:rPr>
        <w:t>15</w:t>
      </w:r>
      <w:r w:rsidRPr="007A0616">
        <w:rPr>
          <w:noProof/>
          <w:vertAlign w:val="superscript"/>
          <w:lang w:eastAsia="fr-FR"/>
        </w:rPr>
        <w:t>th</w:t>
      </w:r>
      <w:r>
        <w:rPr>
          <w:noProof/>
          <w:lang w:eastAsia="fr-FR"/>
        </w:rPr>
        <w:t xml:space="preserve"> in the EU and 41</w:t>
      </w:r>
      <w:r w:rsidRPr="00901EBA">
        <w:rPr>
          <w:noProof/>
          <w:vertAlign w:val="superscript"/>
          <w:lang w:eastAsia="fr-FR"/>
        </w:rPr>
        <w:t>st</w:t>
      </w:r>
      <w:r>
        <w:rPr>
          <w:noProof/>
          <w:lang w:eastAsia="fr-FR"/>
        </w:rPr>
        <w:t xml:space="preserve"> globally</w:t>
      </w:r>
      <w:r>
        <w:rPr>
          <w:rStyle w:val="FootnoteReference"/>
          <w:noProof/>
        </w:rPr>
        <w:footnoteReference w:id="50"/>
      </w:r>
      <w:r>
        <w:rPr>
          <w:noProof/>
        </w:rPr>
        <w:t xml:space="preserve">. </w:t>
      </w:r>
      <w:r w:rsidRPr="0031309A">
        <w:rPr>
          <w:noProof/>
          <w:szCs w:val="24"/>
        </w:rPr>
        <w:t>This percepti</w:t>
      </w:r>
      <w:r>
        <w:rPr>
          <w:noProof/>
          <w:szCs w:val="24"/>
        </w:rPr>
        <w:t xml:space="preserve">on has been relatively stable </w:t>
      </w:r>
      <w:r w:rsidRPr="0031309A">
        <w:rPr>
          <w:noProof/>
          <w:szCs w:val="24"/>
        </w:rPr>
        <w:t>over the past five years</w:t>
      </w:r>
      <w:r>
        <w:rPr>
          <w:rStyle w:val="FootnoteReference"/>
          <w:noProof/>
          <w:szCs w:val="24"/>
        </w:rPr>
        <w:footnoteReference w:id="51"/>
      </w:r>
      <w:r w:rsidRPr="0031309A">
        <w:rPr>
          <w:noProof/>
          <w:szCs w:val="24"/>
        </w:rPr>
        <w:t>.</w:t>
      </w:r>
      <w:r>
        <w:rPr>
          <w:noProof/>
          <w:szCs w:val="24"/>
        </w:rPr>
        <w:t xml:space="preserve"> </w:t>
      </w:r>
      <w:r w:rsidRPr="007C174B">
        <w:rPr>
          <w:noProof/>
          <w:szCs w:val="24"/>
          <w:lang w:val="en-IE" w:eastAsia="en-GB"/>
        </w:rPr>
        <w:t>The 202</w:t>
      </w:r>
      <w:r>
        <w:rPr>
          <w:noProof/>
          <w:szCs w:val="24"/>
          <w:lang w:val="en-IE" w:eastAsia="en-GB"/>
        </w:rPr>
        <w:t>6</w:t>
      </w:r>
      <w:r w:rsidRPr="007C174B">
        <w:rPr>
          <w:noProof/>
          <w:szCs w:val="24"/>
          <w:lang w:val="en-IE" w:eastAsia="en-GB"/>
        </w:rPr>
        <w:t xml:space="preserve"> Special Eurobarometer on Corruption shows that </w:t>
      </w:r>
      <w:r>
        <w:rPr>
          <w:noProof/>
          <w:szCs w:val="24"/>
          <w:lang w:val="en-IE" w:eastAsia="en-GB"/>
        </w:rPr>
        <w:t>90</w:t>
      </w:r>
      <w:r w:rsidRPr="007C174B">
        <w:rPr>
          <w:noProof/>
          <w:szCs w:val="24"/>
          <w:lang w:val="en-IE" w:eastAsia="en-GB"/>
        </w:rPr>
        <w:t xml:space="preserve">% of respondents consider corruption widespread in their country (EU average </w:t>
      </w:r>
      <w:r>
        <w:rPr>
          <w:noProof/>
          <w:szCs w:val="24"/>
          <w:lang w:val="en-IE" w:eastAsia="en-GB"/>
        </w:rPr>
        <w:t>71</w:t>
      </w:r>
      <w:r w:rsidRPr="007C174B">
        <w:rPr>
          <w:noProof/>
          <w:szCs w:val="24"/>
          <w:lang w:val="en-IE" w:eastAsia="en-GB"/>
        </w:rPr>
        <w:t xml:space="preserve">%) and </w:t>
      </w:r>
      <w:r>
        <w:rPr>
          <w:noProof/>
          <w:szCs w:val="24"/>
          <w:lang w:val="en-IE" w:eastAsia="en-GB"/>
        </w:rPr>
        <w:t>36</w:t>
      </w:r>
      <w:r w:rsidRPr="007C174B">
        <w:rPr>
          <w:noProof/>
          <w:szCs w:val="24"/>
          <w:lang w:val="en-IE" w:eastAsia="en-GB"/>
        </w:rPr>
        <w:t xml:space="preserve">% of respondents feel personally affected by corruption in their daily lives (EU average </w:t>
      </w:r>
      <w:r>
        <w:rPr>
          <w:noProof/>
          <w:szCs w:val="24"/>
          <w:lang w:val="en-IE" w:eastAsia="en-GB"/>
        </w:rPr>
        <w:t>30</w:t>
      </w:r>
      <w:r w:rsidRPr="007C174B">
        <w:rPr>
          <w:noProof/>
          <w:szCs w:val="24"/>
          <w:lang w:val="en-IE" w:eastAsia="en-GB"/>
        </w:rPr>
        <w:t xml:space="preserve">%). As regards businesses, </w:t>
      </w:r>
      <w:r>
        <w:rPr>
          <w:noProof/>
          <w:szCs w:val="24"/>
          <w:lang w:val="en-IE" w:eastAsia="en-GB"/>
        </w:rPr>
        <w:t>89</w:t>
      </w:r>
      <w:r w:rsidRPr="007C174B">
        <w:rPr>
          <w:noProof/>
          <w:szCs w:val="24"/>
          <w:lang w:val="en-IE" w:eastAsia="en-GB"/>
        </w:rPr>
        <w:t xml:space="preserve">% of companies consider that corruption is widespread (EU average </w:t>
      </w:r>
      <w:r>
        <w:rPr>
          <w:noProof/>
          <w:szCs w:val="24"/>
          <w:lang w:val="en-IE" w:eastAsia="en-GB"/>
        </w:rPr>
        <w:t>65</w:t>
      </w:r>
      <w:r w:rsidRPr="007C174B">
        <w:rPr>
          <w:noProof/>
          <w:szCs w:val="24"/>
          <w:lang w:val="en-IE" w:eastAsia="en-GB"/>
        </w:rPr>
        <w:t xml:space="preserve">%) and </w:t>
      </w:r>
      <w:r>
        <w:rPr>
          <w:noProof/>
          <w:szCs w:val="24"/>
          <w:lang w:val="en-IE" w:eastAsia="en-GB"/>
        </w:rPr>
        <w:t>53</w:t>
      </w:r>
      <w:r w:rsidRPr="007C174B">
        <w:rPr>
          <w:noProof/>
          <w:szCs w:val="24"/>
          <w:lang w:val="en-IE" w:eastAsia="en-GB"/>
        </w:rPr>
        <w:t xml:space="preserve">% consider that corruption is a problem when doing business (EU average </w:t>
      </w:r>
      <w:r>
        <w:rPr>
          <w:noProof/>
          <w:szCs w:val="24"/>
          <w:lang w:val="en-IE" w:eastAsia="en-GB"/>
        </w:rPr>
        <w:t>37</w:t>
      </w:r>
      <w:r w:rsidRPr="007C174B">
        <w:rPr>
          <w:noProof/>
          <w:szCs w:val="24"/>
          <w:lang w:val="en-IE" w:eastAsia="en-GB"/>
        </w:rPr>
        <w:t xml:space="preserve">%). Furthermore, </w:t>
      </w:r>
      <w:r>
        <w:rPr>
          <w:noProof/>
          <w:szCs w:val="24"/>
          <w:lang w:val="en-IE" w:eastAsia="en-GB"/>
        </w:rPr>
        <w:t>26</w:t>
      </w:r>
      <w:r w:rsidRPr="007C174B">
        <w:rPr>
          <w:noProof/>
          <w:szCs w:val="24"/>
          <w:lang w:val="en-IE" w:eastAsia="en-GB"/>
        </w:rPr>
        <w:t>% of respondents</w:t>
      </w:r>
      <w:r w:rsidRPr="007C174B">
        <w:rPr>
          <w:b/>
          <w:bCs/>
          <w:noProof/>
          <w:szCs w:val="24"/>
          <w:lang w:val="en-IE" w:eastAsia="en-GB"/>
        </w:rPr>
        <w:t xml:space="preserve"> </w:t>
      </w:r>
      <w:r w:rsidRPr="007C174B">
        <w:rPr>
          <w:noProof/>
          <w:szCs w:val="24"/>
          <w:lang w:val="en-IE" w:eastAsia="en-GB"/>
        </w:rPr>
        <w:t xml:space="preserve">find that there are enough successful prosecutions to deter people from corrupt practices (EU average </w:t>
      </w:r>
      <w:r>
        <w:rPr>
          <w:noProof/>
          <w:szCs w:val="24"/>
          <w:lang w:val="en-IE" w:eastAsia="en-GB"/>
        </w:rPr>
        <w:t>38</w:t>
      </w:r>
      <w:r w:rsidRPr="007C174B">
        <w:rPr>
          <w:noProof/>
          <w:szCs w:val="24"/>
          <w:lang w:val="en-IE" w:eastAsia="en-GB"/>
        </w:rPr>
        <w:t xml:space="preserve">%), while </w:t>
      </w:r>
      <w:r>
        <w:rPr>
          <w:noProof/>
          <w:szCs w:val="24"/>
          <w:lang w:val="en-IE" w:eastAsia="en-GB"/>
        </w:rPr>
        <w:t>24</w:t>
      </w:r>
      <w:r w:rsidRPr="007C174B">
        <w:rPr>
          <w:noProof/>
          <w:szCs w:val="24"/>
          <w:lang w:val="en-IE" w:eastAsia="en-GB"/>
        </w:rPr>
        <w:t xml:space="preserve">% of companies believe that people and businesses caught for bribing a senior official are appropriately punished (EU average </w:t>
      </w:r>
      <w:r>
        <w:rPr>
          <w:noProof/>
          <w:szCs w:val="24"/>
          <w:lang w:val="en-IE" w:eastAsia="en-GB"/>
        </w:rPr>
        <w:t>31</w:t>
      </w:r>
      <w:r w:rsidRPr="007C174B">
        <w:rPr>
          <w:noProof/>
          <w:szCs w:val="24"/>
          <w:lang w:val="en-IE" w:eastAsia="en-GB"/>
        </w:rPr>
        <w:t>%)</w:t>
      </w:r>
      <w:r w:rsidRPr="007C174B">
        <w:rPr>
          <w:noProof/>
          <w:szCs w:val="24"/>
          <w:vertAlign w:val="superscript"/>
          <w:lang w:val="en-IE" w:eastAsia="en-GB"/>
        </w:rPr>
        <w:footnoteReference w:id="52"/>
      </w:r>
      <w:r w:rsidRPr="007C174B">
        <w:rPr>
          <w:noProof/>
          <w:szCs w:val="24"/>
          <w:lang w:val="en-IE" w:eastAsia="en-GB"/>
        </w:rPr>
        <w:t>.</w:t>
      </w:r>
    </w:p>
    <w:p w14:paraId="71D47977" w14:textId="421A7B91" w:rsidR="001D33E1" w:rsidRPr="00230D53" w:rsidRDefault="001D33E1" w:rsidP="001D33E1">
      <w:pPr>
        <w:rPr>
          <w:noProof/>
          <w:lang w:eastAsia="fr-FR"/>
        </w:rPr>
      </w:pPr>
      <w:r w:rsidRPr="15CFD903">
        <w:rPr>
          <w:b/>
          <w:noProof/>
          <w:lang w:eastAsia="fr-FR"/>
        </w:rPr>
        <w:t>The implementation of the</w:t>
      </w:r>
      <w:r>
        <w:rPr>
          <w:b/>
          <w:noProof/>
          <w:lang w:eastAsia="fr-FR"/>
        </w:rPr>
        <w:t xml:space="preserve"> </w:t>
      </w:r>
      <w:r w:rsidRPr="15CFD903">
        <w:rPr>
          <w:b/>
          <w:noProof/>
          <w:lang w:eastAsia="fr-FR"/>
        </w:rPr>
        <w:t xml:space="preserve">Resolution </w:t>
      </w:r>
      <w:bookmarkStart w:id="4" w:name="_Hlk224921333"/>
      <w:r w:rsidRPr="15CFD903">
        <w:rPr>
          <w:b/>
          <w:noProof/>
          <w:lang w:eastAsia="fr-FR"/>
        </w:rPr>
        <w:t>on the Prevention of Corruption</w:t>
      </w:r>
      <w:r>
        <w:rPr>
          <w:b/>
          <w:noProof/>
          <w:lang w:eastAsia="fr-FR"/>
        </w:rPr>
        <w:t xml:space="preserve"> (</w:t>
      </w:r>
      <w:r w:rsidRPr="15CFD903">
        <w:rPr>
          <w:b/>
          <w:noProof/>
          <w:lang w:eastAsia="fr-FR"/>
        </w:rPr>
        <w:t>the national anti-corruption strategy</w:t>
      </w:r>
      <w:r>
        <w:rPr>
          <w:b/>
          <w:noProof/>
          <w:lang w:eastAsia="fr-FR"/>
        </w:rPr>
        <w:t>)</w:t>
      </w:r>
      <w:r w:rsidRPr="15CFD903">
        <w:rPr>
          <w:b/>
          <w:noProof/>
          <w:lang w:eastAsia="fr-FR"/>
        </w:rPr>
        <w:t xml:space="preserve"> </w:t>
      </w:r>
      <w:bookmarkEnd w:id="4"/>
      <w:r w:rsidRPr="15CFD903">
        <w:rPr>
          <w:b/>
          <w:noProof/>
          <w:lang w:eastAsia="fr-FR"/>
        </w:rPr>
        <w:t xml:space="preserve">and its </w:t>
      </w:r>
      <w:r w:rsidR="00531C2D">
        <w:rPr>
          <w:b/>
          <w:noProof/>
          <w:lang w:eastAsia="fr-FR"/>
        </w:rPr>
        <w:t xml:space="preserve">2025-2030 </w:t>
      </w:r>
      <w:r w:rsidRPr="15CFD903">
        <w:rPr>
          <w:b/>
          <w:noProof/>
          <w:lang w:eastAsia="fr-FR"/>
        </w:rPr>
        <w:t>Action Plan is ongoing.</w:t>
      </w:r>
      <w:r w:rsidRPr="15CFD903">
        <w:rPr>
          <w:noProof/>
          <w:lang w:eastAsia="fr-FR"/>
        </w:rPr>
        <w:t xml:space="preserve"> Progress on the measures set out in the Action Plan are to be reported annually to the Commission of Prevention of Corruption (CPC), which is the central coordination body responsible for implementation, monitoring, reporting and evaluation of the strategy. </w:t>
      </w:r>
      <w:r>
        <w:rPr>
          <w:noProof/>
          <w:lang w:eastAsia="fr-FR"/>
        </w:rPr>
        <w:t>T</w:t>
      </w:r>
      <w:r w:rsidRPr="15CFD903">
        <w:rPr>
          <w:noProof/>
          <w:lang w:eastAsia="fr-FR"/>
        </w:rPr>
        <w:t xml:space="preserve">he first reporting </w:t>
      </w:r>
      <w:r>
        <w:rPr>
          <w:noProof/>
          <w:lang w:eastAsia="fr-FR"/>
        </w:rPr>
        <w:t xml:space="preserve">on implementation progress </w:t>
      </w:r>
      <w:r w:rsidRPr="15CFD903">
        <w:rPr>
          <w:noProof/>
          <w:lang w:eastAsia="fr-FR"/>
        </w:rPr>
        <w:t>under the Resolution</w:t>
      </w:r>
      <w:r>
        <w:rPr>
          <w:noProof/>
          <w:lang w:eastAsia="fr-FR"/>
        </w:rPr>
        <w:t xml:space="preserve"> was included in the Annual Report of the CPC published in May 2026</w:t>
      </w:r>
      <w:r w:rsidRPr="15CFD903">
        <w:rPr>
          <w:rStyle w:val="FootnoteReference"/>
          <w:noProof/>
          <w:lang w:eastAsia="fr-FR"/>
        </w:rPr>
        <w:footnoteReference w:id="53"/>
      </w:r>
      <w:r>
        <w:rPr>
          <w:noProof/>
          <w:lang w:eastAsia="fr-FR"/>
        </w:rPr>
        <w:t xml:space="preserve">. </w:t>
      </w:r>
    </w:p>
    <w:p w14:paraId="7F44B36D" w14:textId="50374973" w:rsidR="001D33E1" w:rsidRPr="00422F11" w:rsidRDefault="001D33E1" w:rsidP="001D33E1">
      <w:pPr>
        <w:rPr>
          <w:noProof/>
          <w:lang w:eastAsia="fr-FR"/>
        </w:rPr>
      </w:pPr>
      <w:r>
        <w:rPr>
          <w:b/>
          <w:noProof/>
          <w:szCs w:val="24"/>
        </w:rPr>
        <w:t>While some efforts are ongoing</w:t>
      </w:r>
      <w:r w:rsidRPr="0069217E">
        <w:rPr>
          <w:noProof/>
        </w:rPr>
        <w:t xml:space="preserve"> </w:t>
      </w:r>
      <w:r w:rsidRPr="0069217E">
        <w:rPr>
          <w:b/>
          <w:noProof/>
          <w:szCs w:val="24"/>
        </w:rPr>
        <w:t>to strengthen capacities of state prosecution offices</w:t>
      </w:r>
      <w:r>
        <w:rPr>
          <w:b/>
          <w:noProof/>
          <w:szCs w:val="24"/>
        </w:rPr>
        <w:t>, t</w:t>
      </w:r>
      <w:r w:rsidRPr="00230D53">
        <w:rPr>
          <w:b/>
          <w:noProof/>
          <w:szCs w:val="24"/>
        </w:rPr>
        <w:t xml:space="preserve">here has been limited </w:t>
      </w:r>
      <w:r>
        <w:rPr>
          <w:b/>
          <w:noProof/>
          <w:szCs w:val="24"/>
        </w:rPr>
        <w:t xml:space="preserve">further </w:t>
      </w:r>
      <w:r w:rsidRPr="00230D53">
        <w:rPr>
          <w:b/>
          <w:noProof/>
          <w:szCs w:val="24"/>
        </w:rPr>
        <w:t>progress on the recommendation to ensure a track record of investigations, prosecutions and final judgments in corruption offences</w:t>
      </w:r>
      <w:r w:rsidRPr="00230D53">
        <w:rPr>
          <w:rStyle w:val="FootnoteReference"/>
          <w:b/>
          <w:noProof/>
          <w:szCs w:val="24"/>
        </w:rPr>
        <w:footnoteReference w:id="54"/>
      </w:r>
      <w:r w:rsidRPr="00230D53">
        <w:rPr>
          <w:b/>
          <w:noProof/>
          <w:szCs w:val="24"/>
        </w:rPr>
        <w:t xml:space="preserve">. </w:t>
      </w:r>
      <w:r w:rsidRPr="00503119">
        <w:rPr>
          <w:noProof/>
          <w:szCs w:val="24"/>
        </w:rPr>
        <w:t>T</w:t>
      </w:r>
      <w:r w:rsidRPr="00A90DEF">
        <w:rPr>
          <w:noProof/>
          <w:szCs w:val="24"/>
          <w:lang w:eastAsia="fr-FR"/>
        </w:rPr>
        <w:t xml:space="preserve">he State Prosecution </w:t>
      </w:r>
      <w:r w:rsidRPr="00230D53">
        <w:rPr>
          <w:noProof/>
          <w:szCs w:val="24"/>
          <w:lang w:eastAsia="fr-FR"/>
        </w:rPr>
        <w:t>Office</w:t>
      </w:r>
      <w:r w:rsidRPr="00A90DEF">
        <w:rPr>
          <w:noProof/>
          <w:szCs w:val="24"/>
          <w:lang w:eastAsia="fr-FR"/>
        </w:rPr>
        <w:t xml:space="preserve"> reported higher numbers of requests for </w:t>
      </w:r>
      <w:r>
        <w:rPr>
          <w:noProof/>
          <w:szCs w:val="24"/>
          <w:lang w:eastAsia="fr-FR"/>
        </w:rPr>
        <w:t xml:space="preserve">judicial </w:t>
      </w:r>
      <w:r w:rsidRPr="00A90DEF">
        <w:rPr>
          <w:noProof/>
          <w:szCs w:val="24"/>
          <w:lang w:eastAsia="fr-FR"/>
        </w:rPr>
        <w:t>investigation, indictments and convictions</w:t>
      </w:r>
      <w:r w:rsidRPr="00A90DEF" w:rsidDel="004811DC">
        <w:rPr>
          <w:noProof/>
          <w:szCs w:val="24"/>
          <w:lang w:eastAsia="fr-FR"/>
        </w:rPr>
        <w:t xml:space="preserve"> </w:t>
      </w:r>
      <w:r w:rsidRPr="00A90DEF">
        <w:rPr>
          <w:noProof/>
          <w:szCs w:val="24"/>
          <w:lang w:eastAsia="fr-FR"/>
        </w:rPr>
        <w:t>in 2025</w:t>
      </w:r>
      <w:r w:rsidRPr="00230D53">
        <w:rPr>
          <w:rStyle w:val="FootnoteReference"/>
          <w:noProof/>
          <w:szCs w:val="24"/>
        </w:rPr>
        <w:footnoteReference w:id="55"/>
      </w:r>
      <w:r w:rsidRPr="00A90DEF">
        <w:rPr>
          <w:noProof/>
          <w:szCs w:val="24"/>
          <w:lang w:eastAsia="fr-FR"/>
        </w:rPr>
        <w:t xml:space="preserve">, </w:t>
      </w:r>
      <w:r>
        <w:rPr>
          <w:noProof/>
          <w:szCs w:val="24"/>
          <w:lang w:eastAsia="fr-FR"/>
        </w:rPr>
        <w:t>indicating that increase</w:t>
      </w:r>
      <w:r w:rsidRPr="00A90DEF">
        <w:rPr>
          <w:noProof/>
          <w:szCs w:val="24"/>
          <w:lang w:eastAsia="fr-FR"/>
        </w:rPr>
        <w:t xml:space="preserve"> </w:t>
      </w:r>
      <w:r w:rsidRPr="00230D53">
        <w:rPr>
          <w:noProof/>
          <w:szCs w:val="24"/>
          <w:lang w:eastAsia="fr-FR"/>
        </w:rPr>
        <w:t>resulted</w:t>
      </w:r>
      <w:r w:rsidRPr="00A90DEF">
        <w:rPr>
          <w:noProof/>
          <w:szCs w:val="24"/>
          <w:lang w:eastAsia="fr-FR"/>
        </w:rPr>
        <w:t xml:space="preserve"> </w:t>
      </w:r>
      <w:r>
        <w:rPr>
          <w:noProof/>
          <w:szCs w:val="24"/>
          <w:lang w:eastAsia="fr-FR"/>
        </w:rPr>
        <w:t>from</w:t>
      </w:r>
      <w:r w:rsidRPr="00A90DEF">
        <w:rPr>
          <w:noProof/>
          <w:szCs w:val="24"/>
          <w:lang w:eastAsia="fr-FR"/>
        </w:rPr>
        <w:t xml:space="preserve"> the handling of </w:t>
      </w:r>
      <w:r>
        <w:rPr>
          <w:noProof/>
          <w:szCs w:val="24"/>
          <w:lang w:eastAsia="fr-FR"/>
        </w:rPr>
        <w:t xml:space="preserve">three large-scale </w:t>
      </w:r>
      <w:r w:rsidRPr="00230D53">
        <w:rPr>
          <w:noProof/>
          <w:szCs w:val="24"/>
          <w:lang w:eastAsia="fr-FR"/>
        </w:rPr>
        <w:t>cases</w:t>
      </w:r>
      <w:r w:rsidRPr="00230D53">
        <w:rPr>
          <w:rStyle w:val="FootnoteReference"/>
          <w:noProof/>
          <w:szCs w:val="24"/>
        </w:rPr>
        <w:footnoteReference w:id="56"/>
      </w:r>
      <w:r>
        <w:rPr>
          <w:noProof/>
          <w:szCs w:val="24"/>
          <w:lang w:eastAsia="fr-FR"/>
        </w:rPr>
        <w:t>.</w:t>
      </w:r>
      <w:r w:rsidDel="005949A5">
        <w:rPr>
          <w:noProof/>
          <w:szCs w:val="24"/>
          <w:lang w:eastAsia="fr-FR"/>
        </w:rPr>
        <w:t xml:space="preserve"> </w:t>
      </w:r>
      <w:r w:rsidDel="004635DE">
        <w:rPr>
          <w:noProof/>
          <w:szCs w:val="24"/>
          <w:lang w:eastAsia="fr-FR"/>
        </w:rPr>
        <w:t>The investigation and prosecution of high-level cases remain limited</w:t>
      </w:r>
      <w:r>
        <w:rPr>
          <w:noProof/>
          <w:szCs w:val="24"/>
          <w:lang w:eastAsia="fr-FR"/>
        </w:rPr>
        <w:t xml:space="preserve">. As of March 2026, </w:t>
      </w:r>
      <w:r w:rsidRPr="00230D53">
        <w:rPr>
          <w:noProof/>
          <w:szCs w:val="24"/>
        </w:rPr>
        <w:t>t</w:t>
      </w:r>
      <w:r w:rsidRPr="00230D53">
        <w:rPr>
          <w:noProof/>
          <w:szCs w:val="24"/>
          <w:lang w:eastAsia="fr-FR"/>
        </w:rPr>
        <w:t>he</w:t>
      </w:r>
      <w:r w:rsidRPr="00A90DEF">
        <w:rPr>
          <w:noProof/>
          <w:szCs w:val="24"/>
          <w:lang w:eastAsia="fr-FR"/>
        </w:rPr>
        <w:t xml:space="preserve"> State Prosecution </w:t>
      </w:r>
      <w:r w:rsidRPr="00230D53">
        <w:rPr>
          <w:noProof/>
          <w:szCs w:val="24"/>
          <w:lang w:eastAsia="fr-FR"/>
        </w:rPr>
        <w:t>Office was</w:t>
      </w:r>
      <w:r>
        <w:rPr>
          <w:noProof/>
          <w:szCs w:val="24"/>
          <w:lang w:eastAsia="fr-FR"/>
        </w:rPr>
        <w:t xml:space="preserve"> handling four</w:t>
      </w:r>
      <w:r w:rsidRPr="00230D53">
        <w:rPr>
          <w:noProof/>
        </w:rPr>
        <w:t xml:space="preserve"> new cases of high-level corruption</w:t>
      </w:r>
      <w:r>
        <w:rPr>
          <w:noProof/>
        </w:rPr>
        <w:t xml:space="preserve"> alongside </w:t>
      </w:r>
      <w:r w:rsidRPr="00230D53">
        <w:rPr>
          <w:noProof/>
        </w:rPr>
        <w:t xml:space="preserve">two existing </w:t>
      </w:r>
      <w:r>
        <w:rPr>
          <w:noProof/>
        </w:rPr>
        <w:t>ones</w:t>
      </w:r>
      <w:r w:rsidRPr="00230D53">
        <w:rPr>
          <w:noProof/>
        </w:rPr>
        <w:t>, while one case was d</w:t>
      </w:r>
      <w:r>
        <w:rPr>
          <w:noProof/>
        </w:rPr>
        <w:t>iscontinued by the prosecution</w:t>
      </w:r>
      <w:r w:rsidRPr="00230D53">
        <w:rPr>
          <w:rStyle w:val="FootnoteReference"/>
          <w:noProof/>
        </w:rPr>
        <w:footnoteReference w:id="57"/>
      </w:r>
      <w:r w:rsidRPr="00A90DEF">
        <w:rPr>
          <w:noProof/>
          <w:szCs w:val="24"/>
          <w:lang w:eastAsia="fr-FR"/>
        </w:rPr>
        <w:t>.</w:t>
      </w:r>
      <w:r>
        <w:rPr>
          <w:noProof/>
          <w:szCs w:val="24"/>
          <w:lang w:eastAsia="fr-FR"/>
        </w:rPr>
        <w:t xml:space="preserve"> Some efforts are ongoing to strengthen capacities of the state prosecution offices, particularly through increasing the number of state prosecutors</w:t>
      </w:r>
      <w:r>
        <w:rPr>
          <w:rStyle w:val="FootnoteReference"/>
          <w:noProof/>
          <w:szCs w:val="24"/>
          <w:lang w:eastAsia="fr-FR"/>
        </w:rPr>
        <w:footnoteReference w:id="58"/>
      </w:r>
      <w:r>
        <w:rPr>
          <w:noProof/>
          <w:szCs w:val="24"/>
          <w:lang w:eastAsia="fr-FR"/>
        </w:rPr>
        <w:t>. In 2025, one judgment was delivered in a high-level corruption case, the second judgment of this nature since 2020</w:t>
      </w:r>
      <w:r>
        <w:rPr>
          <w:rStyle w:val="FootnoteReference"/>
          <w:noProof/>
          <w:szCs w:val="24"/>
          <w:lang w:eastAsia="fr-FR"/>
        </w:rPr>
        <w:footnoteReference w:id="59"/>
      </w:r>
      <w:r>
        <w:rPr>
          <w:noProof/>
          <w:szCs w:val="24"/>
          <w:lang w:eastAsia="fr-FR"/>
        </w:rPr>
        <w:t>.</w:t>
      </w:r>
      <w:r w:rsidRPr="00A90DEF">
        <w:rPr>
          <w:noProof/>
          <w:szCs w:val="24"/>
          <w:lang w:eastAsia="fr-FR"/>
        </w:rPr>
        <w:t xml:space="preserve"> The police</w:t>
      </w:r>
      <w:r>
        <w:rPr>
          <w:noProof/>
          <w:szCs w:val="24"/>
          <w:lang w:eastAsia="fr-FR"/>
        </w:rPr>
        <w:t xml:space="preserve"> raised the insufficient level of human resources as an obstacle to higher detection</w:t>
      </w:r>
      <w:r>
        <w:rPr>
          <w:rStyle w:val="FootnoteReference"/>
          <w:noProof/>
          <w:szCs w:val="24"/>
          <w:lang w:eastAsia="fr-FR"/>
        </w:rPr>
        <w:footnoteReference w:id="60"/>
      </w:r>
      <w:r>
        <w:rPr>
          <w:noProof/>
          <w:szCs w:val="24"/>
          <w:lang w:eastAsia="fr-FR"/>
        </w:rPr>
        <w:t xml:space="preserve">. </w:t>
      </w:r>
      <w:r w:rsidRPr="00503119">
        <w:rPr>
          <w:noProof/>
          <w:szCs w:val="24"/>
          <w:lang w:eastAsia="fr-FR"/>
        </w:rPr>
        <w:t xml:space="preserve">In 2025, the police </w:t>
      </w:r>
      <w:r>
        <w:rPr>
          <w:noProof/>
          <w:szCs w:val="24"/>
          <w:lang w:eastAsia="fr-FR"/>
        </w:rPr>
        <w:t xml:space="preserve">transmitted </w:t>
      </w:r>
      <w:r w:rsidRPr="00503119">
        <w:rPr>
          <w:noProof/>
          <w:szCs w:val="24"/>
          <w:lang w:eastAsia="fr-FR"/>
        </w:rPr>
        <w:t xml:space="preserve">26 corruption </w:t>
      </w:r>
      <w:r>
        <w:rPr>
          <w:noProof/>
          <w:szCs w:val="24"/>
          <w:lang w:eastAsia="fr-FR"/>
        </w:rPr>
        <w:t>cases</w:t>
      </w:r>
      <w:r w:rsidRPr="00EB628D">
        <w:rPr>
          <w:noProof/>
          <w:szCs w:val="24"/>
          <w:lang w:eastAsia="fr-FR"/>
        </w:rPr>
        <w:t xml:space="preserve"> </w:t>
      </w:r>
      <w:r>
        <w:rPr>
          <w:noProof/>
          <w:szCs w:val="24"/>
          <w:lang w:eastAsia="fr-FR"/>
        </w:rPr>
        <w:t>to the state prosecution offices</w:t>
      </w:r>
      <w:r w:rsidRPr="00503119">
        <w:rPr>
          <w:rStyle w:val="FootnoteReference"/>
          <w:noProof/>
          <w:szCs w:val="24"/>
        </w:rPr>
        <w:footnoteReference w:id="61"/>
      </w:r>
      <w:r w:rsidRPr="00503119">
        <w:rPr>
          <w:rFonts w:ascii="Arial" w:hAnsi="Arial" w:cs="Arial"/>
          <w:iCs/>
          <w:noProof/>
          <w:szCs w:val="24"/>
        </w:rPr>
        <w:t>.</w:t>
      </w:r>
      <w:r>
        <w:rPr>
          <w:rFonts w:ascii="Arial" w:hAnsi="Arial" w:cs="Arial"/>
          <w:iCs/>
          <w:noProof/>
          <w:szCs w:val="24"/>
        </w:rPr>
        <w:t xml:space="preserve"> </w:t>
      </w:r>
      <w:r w:rsidRPr="00A90DEF">
        <w:rPr>
          <w:noProof/>
          <w:szCs w:val="24"/>
          <w:lang w:eastAsia="fr-FR"/>
        </w:rPr>
        <w:t xml:space="preserve">Both the police and the </w:t>
      </w:r>
      <w:r>
        <w:rPr>
          <w:noProof/>
          <w:szCs w:val="24"/>
          <w:lang w:eastAsia="fr-FR"/>
        </w:rPr>
        <w:t xml:space="preserve">state </w:t>
      </w:r>
      <w:r w:rsidRPr="00A90DEF">
        <w:rPr>
          <w:noProof/>
          <w:szCs w:val="24"/>
          <w:lang w:eastAsia="fr-FR"/>
        </w:rPr>
        <w:t>prosecutors</w:t>
      </w:r>
      <w:r>
        <w:rPr>
          <w:noProof/>
          <w:szCs w:val="24"/>
          <w:lang w:eastAsia="fr-FR"/>
        </w:rPr>
        <w:t xml:space="preserve"> </w:t>
      </w:r>
      <w:r w:rsidRPr="00230D53">
        <w:rPr>
          <w:noProof/>
          <w:szCs w:val="24"/>
          <w:lang w:eastAsia="fr-FR"/>
        </w:rPr>
        <w:t>continue</w:t>
      </w:r>
      <w:r>
        <w:rPr>
          <w:noProof/>
          <w:szCs w:val="24"/>
          <w:lang w:eastAsia="fr-FR"/>
        </w:rPr>
        <w:t>d to</w:t>
      </w:r>
      <w:r w:rsidRPr="00A90DEF">
        <w:rPr>
          <w:noProof/>
          <w:szCs w:val="24"/>
          <w:lang w:eastAsia="fr-FR"/>
        </w:rPr>
        <w:t xml:space="preserve"> underline the challenges raised by the high evidentiary threshold resulting from the </w:t>
      </w:r>
      <w:r>
        <w:rPr>
          <w:noProof/>
          <w:szCs w:val="24"/>
          <w:lang w:eastAsia="fr-FR"/>
        </w:rPr>
        <w:t>2024 amendments</w:t>
      </w:r>
      <w:r w:rsidRPr="00A90DEF">
        <w:rPr>
          <w:noProof/>
          <w:szCs w:val="24"/>
          <w:lang w:eastAsia="fr-FR"/>
        </w:rPr>
        <w:t xml:space="preserve"> to the Criminal Procedur</w:t>
      </w:r>
      <w:r w:rsidR="00B97097">
        <w:rPr>
          <w:noProof/>
          <w:szCs w:val="24"/>
          <w:lang w:eastAsia="fr-FR"/>
        </w:rPr>
        <w:t>e</w:t>
      </w:r>
      <w:r w:rsidRPr="00A90DEF">
        <w:rPr>
          <w:noProof/>
          <w:szCs w:val="24"/>
          <w:lang w:eastAsia="fr-FR"/>
        </w:rPr>
        <w:t xml:space="preserve"> </w:t>
      </w:r>
      <w:r w:rsidR="00B97097">
        <w:rPr>
          <w:noProof/>
          <w:szCs w:val="24"/>
          <w:lang w:eastAsia="fr-FR"/>
        </w:rPr>
        <w:t>Act</w:t>
      </w:r>
      <w:r w:rsidRPr="00230D53">
        <w:rPr>
          <w:rStyle w:val="FootnoteReference"/>
          <w:noProof/>
          <w:szCs w:val="24"/>
        </w:rPr>
        <w:footnoteReference w:id="62"/>
      </w:r>
      <w:r w:rsidR="00A814CD">
        <w:rPr>
          <w:noProof/>
          <w:szCs w:val="24"/>
          <w:lang w:eastAsia="fr-FR"/>
        </w:rPr>
        <w:t>,</w:t>
      </w:r>
      <w:r w:rsidR="00F96B65">
        <w:rPr>
          <w:noProof/>
          <w:szCs w:val="24"/>
          <w:lang w:eastAsia="fr-FR"/>
        </w:rPr>
        <w:t xml:space="preserve"> following the </w:t>
      </w:r>
      <w:r w:rsidR="00A61DDB">
        <w:rPr>
          <w:noProof/>
          <w:szCs w:val="24"/>
          <w:lang w:eastAsia="fr-FR"/>
        </w:rPr>
        <w:t xml:space="preserve">2023 </w:t>
      </w:r>
      <w:r w:rsidR="00124256">
        <w:rPr>
          <w:noProof/>
          <w:szCs w:val="24"/>
          <w:lang w:eastAsia="fr-FR"/>
        </w:rPr>
        <w:t>judgment</w:t>
      </w:r>
      <w:r w:rsidR="00316ABB" w:rsidRPr="00166C15">
        <w:rPr>
          <w:noProof/>
          <w:szCs w:val="24"/>
          <w:lang w:eastAsia="fr-FR"/>
        </w:rPr>
        <w:t xml:space="preserve"> of the Constitutional Court</w:t>
      </w:r>
      <w:r w:rsidR="0024044D" w:rsidRPr="00411BDE">
        <w:rPr>
          <w:rStyle w:val="FootnoteReference"/>
          <w:noProof/>
          <w:szCs w:val="24"/>
        </w:rPr>
        <w:footnoteReference w:id="63"/>
      </w:r>
      <w:r w:rsidRPr="00411BDE">
        <w:rPr>
          <w:noProof/>
          <w:szCs w:val="24"/>
          <w:lang w:eastAsia="fr-FR"/>
        </w:rPr>
        <w:t>. From</w:t>
      </w:r>
      <w:r>
        <w:rPr>
          <w:noProof/>
          <w:szCs w:val="24"/>
          <w:lang w:eastAsia="fr-FR"/>
        </w:rPr>
        <w:t xml:space="preserve"> 2027, the</w:t>
      </w:r>
      <w:r w:rsidRPr="00A90DEF">
        <w:rPr>
          <w:noProof/>
          <w:szCs w:val="24"/>
          <w:lang w:eastAsia="fr-FR"/>
        </w:rPr>
        <w:t xml:space="preserve"> </w:t>
      </w:r>
      <w:r>
        <w:rPr>
          <w:noProof/>
          <w:szCs w:val="24"/>
          <w:lang w:eastAsia="fr-FR"/>
        </w:rPr>
        <w:t xml:space="preserve">gradual </w:t>
      </w:r>
      <w:r w:rsidRPr="00A90DEF">
        <w:rPr>
          <w:noProof/>
          <w:szCs w:val="24"/>
          <w:lang w:eastAsia="fr-FR"/>
        </w:rPr>
        <w:t xml:space="preserve">reform </w:t>
      </w:r>
      <w:r>
        <w:rPr>
          <w:noProof/>
          <w:szCs w:val="24"/>
          <w:lang w:eastAsia="fr-FR"/>
        </w:rPr>
        <w:t>of the judicial map</w:t>
      </w:r>
      <w:r w:rsidDel="002903BA">
        <w:rPr>
          <w:noProof/>
          <w:szCs w:val="24"/>
          <w:lang w:eastAsia="fr-FR"/>
        </w:rPr>
        <w:t xml:space="preserve"> </w:t>
      </w:r>
      <w:r>
        <w:rPr>
          <w:noProof/>
          <w:szCs w:val="24"/>
          <w:lang w:eastAsia="fr-FR"/>
        </w:rPr>
        <w:t>is expected to</w:t>
      </w:r>
      <w:r w:rsidRPr="00A90DEF">
        <w:rPr>
          <w:noProof/>
          <w:szCs w:val="24"/>
          <w:lang w:eastAsia="fr-FR"/>
        </w:rPr>
        <w:t xml:space="preserve"> allow</w:t>
      </w:r>
      <w:r>
        <w:rPr>
          <w:noProof/>
          <w:szCs w:val="24"/>
          <w:lang w:eastAsia="fr-FR"/>
        </w:rPr>
        <w:t xml:space="preserve"> for greater</w:t>
      </w:r>
      <w:r w:rsidRPr="00A90DEF">
        <w:rPr>
          <w:noProof/>
          <w:szCs w:val="24"/>
          <w:lang w:eastAsia="fr-FR"/>
        </w:rPr>
        <w:t xml:space="preserve"> </w:t>
      </w:r>
      <w:r>
        <w:rPr>
          <w:noProof/>
          <w:szCs w:val="24"/>
          <w:lang w:eastAsia="fr-FR"/>
        </w:rPr>
        <w:t>specialisation and a more even distribution of workload</w:t>
      </w:r>
      <w:r w:rsidRPr="00A90DEF">
        <w:rPr>
          <w:noProof/>
          <w:szCs w:val="24"/>
          <w:lang w:eastAsia="fr-FR"/>
        </w:rPr>
        <w:t xml:space="preserve"> among judges</w:t>
      </w:r>
      <w:r>
        <w:rPr>
          <w:noProof/>
          <w:szCs w:val="24"/>
          <w:lang w:eastAsia="fr-FR"/>
        </w:rPr>
        <w:t>, which could expedite the resolution of corruption cases</w:t>
      </w:r>
      <w:r w:rsidRPr="00230D53">
        <w:rPr>
          <w:rStyle w:val="FootnoteReference"/>
          <w:noProof/>
          <w:szCs w:val="24"/>
        </w:rPr>
        <w:footnoteReference w:id="64"/>
      </w:r>
      <w:r w:rsidRPr="00A90DEF">
        <w:rPr>
          <w:noProof/>
          <w:szCs w:val="24"/>
          <w:lang w:eastAsia="fr-FR"/>
        </w:rPr>
        <w:t xml:space="preserve">. </w:t>
      </w:r>
      <w:r w:rsidRPr="004766D2">
        <w:rPr>
          <w:noProof/>
          <w:szCs w:val="24"/>
          <w:lang w:eastAsia="fr-FR"/>
        </w:rPr>
        <w:t xml:space="preserve">The Supreme State </w:t>
      </w:r>
      <w:r w:rsidRPr="00230D53">
        <w:rPr>
          <w:noProof/>
          <w:szCs w:val="24"/>
          <w:lang w:eastAsia="fr-FR"/>
        </w:rPr>
        <w:t>Prosecution Office is</w:t>
      </w:r>
      <w:r w:rsidRPr="00230D53">
        <w:rPr>
          <w:noProof/>
          <w:szCs w:val="24"/>
        </w:rPr>
        <w:t xml:space="preserve"> </w:t>
      </w:r>
      <w:r w:rsidRPr="004766D2">
        <w:rPr>
          <w:iCs/>
          <w:noProof/>
          <w:szCs w:val="24"/>
        </w:rPr>
        <w:t>implementing a project</w:t>
      </w:r>
      <w:r w:rsidRPr="004766D2">
        <w:rPr>
          <w:rStyle w:val="FootnoteReference"/>
          <w:iCs/>
          <w:noProof/>
          <w:szCs w:val="24"/>
        </w:rPr>
        <w:footnoteReference w:id="65"/>
      </w:r>
      <w:r w:rsidRPr="004766D2">
        <w:rPr>
          <w:iCs/>
          <w:noProof/>
          <w:szCs w:val="24"/>
        </w:rPr>
        <w:t xml:space="preserve"> to strengthen capacities to investigate and prosecute economic crimes, including corruption</w:t>
      </w:r>
      <w:r>
        <w:rPr>
          <w:rStyle w:val="FootnoteReference"/>
          <w:iCs/>
          <w:noProof/>
          <w:szCs w:val="24"/>
        </w:rPr>
        <w:footnoteReference w:id="66"/>
      </w:r>
      <w:r w:rsidRPr="004766D2">
        <w:rPr>
          <w:iCs/>
          <w:noProof/>
          <w:szCs w:val="24"/>
        </w:rPr>
        <w:t xml:space="preserve">. </w:t>
      </w:r>
      <w:r>
        <w:rPr>
          <w:iCs/>
          <w:noProof/>
          <w:szCs w:val="24"/>
        </w:rPr>
        <w:t xml:space="preserve">In December 2025, a first meeting of </w:t>
      </w:r>
      <w:r w:rsidRPr="00D73548">
        <w:rPr>
          <w:iCs/>
          <w:noProof/>
          <w:szCs w:val="24"/>
        </w:rPr>
        <w:t xml:space="preserve">the </w:t>
      </w:r>
      <w:r>
        <w:rPr>
          <w:iCs/>
          <w:noProof/>
          <w:szCs w:val="24"/>
        </w:rPr>
        <w:t>prosecution’s working group focusing on the</w:t>
      </w:r>
      <w:r w:rsidRPr="00D73548">
        <w:rPr>
          <w:iCs/>
          <w:noProof/>
          <w:szCs w:val="24"/>
        </w:rPr>
        <w:t xml:space="preserve"> abuse of position discussed </w:t>
      </w:r>
      <w:r w:rsidRPr="000E65BC">
        <w:rPr>
          <w:iCs/>
          <w:noProof/>
          <w:szCs w:val="24"/>
        </w:rPr>
        <w:t xml:space="preserve">faster handling of </w:t>
      </w:r>
      <w:r>
        <w:rPr>
          <w:iCs/>
          <w:noProof/>
          <w:szCs w:val="24"/>
        </w:rPr>
        <w:t>such</w:t>
      </w:r>
      <w:r w:rsidRPr="000E65BC">
        <w:rPr>
          <w:iCs/>
          <w:noProof/>
          <w:szCs w:val="24"/>
        </w:rPr>
        <w:t xml:space="preserve"> cases</w:t>
      </w:r>
      <w:r>
        <w:rPr>
          <w:iCs/>
          <w:noProof/>
          <w:szCs w:val="24"/>
        </w:rPr>
        <w:t xml:space="preserve">, specialised training and possible </w:t>
      </w:r>
      <w:r w:rsidRPr="00462A0D">
        <w:rPr>
          <w:iCs/>
          <w:noProof/>
          <w:szCs w:val="24"/>
        </w:rPr>
        <w:t>amendments regarding the special investigative measures</w:t>
      </w:r>
      <w:r>
        <w:rPr>
          <w:iCs/>
          <w:noProof/>
          <w:szCs w:val="24"/>
        </w:rPr>
        <w:t>.</w:t>
      </w:r>
      <w:r w:rsidRPr="00230D53">
        <w:rPr>
          <w:iCs/>
          <w:noProof/>
          <w:szCs w:val="24"/>
        </w:rPr>
        <w:t xml:space="preserve"> The cooperation between the European Public Prosecutor’s Office and the national prosecutions offices continues to </w:t>
      </w:r>
      <w:r>
        <w:rPr>
          <w:iCs/>
          <w:noProof/>
          <w:szCs w:val="24"/>
        </w:rPr>
        <w:t>function well</w:t>
      </w:r>
      <w:r w:rsidRPr="00230D53">
        <w:rPr>
          <w:rStyle w:val="FootnoteReference"/>
          <w:iCs/>
          <w:noProof/>
          <w:szCs w:val="24"/>
        </w:rPr>
        <w:footnoteReference w:id="67"/>
      </w:r>
      <w:r w:rsidRPr="00230D53">
        <w:rPr>
          <w:iCs/>
          <w:noProof/>
          <w:szCs w:val="24"/>
        </w:rPr>
        <w:t>. Considering the modest</w:t>
      </w:r>
      <w:r w:rsidDel="00277547">
        <w:rPr>
          <w:iCs/>
          <w:noProof/>
          <w:szCs w:val="24"/>
        </w:rPr>
        <w:t xml:space="preserve"> </w:t>
      </w:r>
      <w:r>
        <w:rPr>
          <w:iCs/>
          <w:noProof/>
          <w:szCs w:val="24"/>
        </w:rPr>
        <w:t xml:space="preserve">results in investigation, and moderate results in prosecution and final judgments, including regarding high-level corruption cases, </w:t>
      </w:r>
      <w:r w:rsidRPr="00230D53">
        <w:rPr>
          <w:iCs/>
          <w:noProof/>
          <w:szCs w:val="24"/>
        </w:rPr>
        <w:t>and</w:t>
      </w:r>
      <w:r w:rsidDel="00C34A25">
        <w:rPr>
          <w:iCs/>
          <w:noProof/>
          <w:szCs w:val="24"/>
        </w:rPr>
        <w:t xml:space="preserve"> </w:t>
      </w:r>
      <w:r>
        <w:rPr>
          <w:iCs/>
          <w:noProof/>
          <w:szCs w:val="24"/>
        </w:rPr>
        <w:t xml:space="preserve">some </w:t>
      </w:r>
      <w:r w:rsidRPr="00230D53">
        <w:rPr>
          <w:iCs/>
          <w:noProof/>
          <w:szCs w:val="24"/>
        </w:rPr>
        <w:t>efforts</w:t>
      </w:r>
      <w:r>
        <w:rPr>
          <w:iCs/>
          <w:noProof/>
          <w:szCs w:val="24"/>
        </w:rPr>
        <w:t xml:space="preserve"> to strengthen capacities of state prosecution offices, there has been limited further progress in the implementation of the recommendation.</w:t>
      </w:r>
    </w:p>
    <w:p w14:paraId="09A45DB4" w14:textId="77777777" w:rsidR="001D33E1" w:rsidRPr="00230D53" w:rsidRDefault="001D33E1" w:rsidP="001D33E1">
      <w:pPr>
        <w:rPr>
          <w:noProof/>
          <w:lang w:eastAsia="fr-FR"/>
        </w:rPr>
      </w:pPr>
      <w:bookmarkStart w:id="6" w:name="_Hlk224745061"/>
      <w:r w:rsidRPr="00230D53">
        <w:rPr>
          <w:b/>
          <w:noProof/>
          <w:lang w:eastAsia="fr-FR"/>
        </w:rPr>
        <w:t xml:space="preserve">While its technical and human resources remained stable, the Commission for the Prevention of Corruption </w:t>
      </w:r>
      <w:r w:rsidRPr="0073160D">
        <w:rPr>
          <w:b/>
          <w:bCs/>
          <w:noProof/>
          <w:szCs w:val="24"/>
          <w:lang w:eastAsia="fr-FR"/>
        </w:rPr>
        <w:t>reported attempts to undermine its credibility</w:t>
      </w:r>
      <w:bookmarkEnd w:id="6"/>
      <w:r>
        <w:rPr>
          <w:noProof/>
          <w:szCs w:val="24"/>
          <w:lang w:eastAsia="fr-FR"/>
        </w:rPr>
        <w:t xml:space="preserve">. </w:t>
      </w:r>
      <w:r w:rsidRPr="00230D53">
        <w:rPr>
          <w:noProof/>
          <w:lang w:eastAsia="fr-FR"/>
        </w:rPr>
        <w:t xml:space="preserve">The publicly accessible </w:t>
      </w:r>
      <w:r w:rsidRPr="00230D53" w:rsidDel="00883109">
        <w:rPr>
          <w:noProof/>
          <w:lang w:eastAsia="fr-FR"/>
        </w:rPr>
        <w:t xml:space="preserve">web </w:t>
      </w:r>
      <w:r w:rsidRPr="00230D53">
        <w:rPr>
          <w:noProof/>
          <w:lang w:eastAsia="fr-FR"/>
        </w:rPr>
        <w:t>portal ‘ERAR’</w:t>
      </w:r>
      <w:r>
        <w:rPr>
          <w:noProof/>
          <w:lang w:eastAsia="fr-FR"/>
        </w:rPr>
        <w:t>,</w:t>
      </w:r>
      <w:r w:rsidRPr="00230D53">
        <w:rPr>
          <w:noProof/>
          <w:lang w:eastAsia="fr-FR"/>
        </w:rPr>
        <w:t xml:space="preserve"> managed by the CPC</w:t>
      </w:r>
      <w:r>
        <w:rPr>
          <w:noProof/>
          <w:lang w:eastAsia="fr-FR"/>
        </w:rPr>
        <w:t xml:space="preserve"> and providing</w:t>
      </w:r>
      <w:r w:rsidRPr="00230D53">
        <w:rPr>
          <w:noProof/>
          <w:lang w:eastAsia="fr-FR"/>
        </w:rPr>
        <w:t xml:space="preserve"> data on the use of public money, </w:t>
      </w:r>
      <w:r>
        <w:rPr>
          <w:noProof/>
          <w:lang w:eastAsia="fr-FR"/>
        </w:rPr>
        <w:t xml:space="preserve">continued to function </w:t>
      </w:r>
      <w:r w:rsidRPr="00230D53">
        <w:rPr>
          <w:noProof/>
          <w:lang w:eastAsia="fr-FR"/>
        </w:rPr>
        <w:t>reliabl</w:t>
      </w:r>
      <w:r>
        <w:rPr>
          <w:noProof/>
          <w:lang w:eastAsia="fr-FR"/>
        </w:rPr>
        <w:t>y</w:t>
      </w:r>
      <w:r w:rsidRPr="00230D53">
        <w:rPr>
          <w:noProof/>
          <w:lang w:eastAsia="fr-FR"/>
        </w:rPr>
        <w:t xml:space="preserve"> with high daily traffic throughout the year</w:t>
      </w:r>
      <w:r w:rsidRPr="00230D53">
        <w:rPr>
          <w:rStyle w:val="FootnoteReference"/>
          <w:noProof/>
          <w:lang w:eastAsia="fr-FR"/>
        </w:rPr>
        <w:footnoteReference w:id="68"/>
      </w:r>
      <w:r w:rsidRPr="00230D53">
        <w:rPr>
          <w:noProof/>
          <w:lang w:eastAsia="fr-FR"/>
        </w:rPr>
        <w:t>. This follows technical improvements made in 2025 regarding the quality of information</w:t>
      </w:r>
      <w:r w:rsidRPr="00230D53">
        <w:rPr>
          <w:rStyle w:val="FootnoteReference"/>
          <w:noProof/>
          <w:lang w:eastAsia="fr-FR"/>
        </w:rPr>
        <w:footnoteReference w:id="69"/>
      </w:r>
      <w:r w:rsidRPr="00230D53">
        <w:rPr>
          <w:noProof/>
          <w:lang w:eastAsia="fr-FR"/>
        </w:rPr>
        <w:t xml:space="preserve">. The CPC’s internal system and database ‘Corruptio’ is being upgraded </w:t>
      </w:r>
      <w:r>
        <w:rPr>
          <w:noProof/>
          <w:lang w:eastAsia="fr-FR"/>
        </w:rPr>
        <w:t>to</w:t>
      </w:r>
      <w:r w:rsidRPr="00230D53">
        <w:rPr>
          <w:noProof/>
          <w:lang w:eastAsia="fr-FR"/>
        </w:rPr>
        <w:t xml:space="preserve"> allow the electronic completion and submission of forms relating notably to lobbying contacts, lists of received gifts and registration of individuals subject to asset declaration obligations. The </w:t>
      </w:r>
      <w:r>
        <w:rPr>
          <w:noProof/>
          <w:lang w:eastAsia="fr-FR"/>
        </w:rPr>
        <w:t xml:space="preserve">CPC’s </w:t>
      </w:r>
      <w:r w:rsidRPr="00230D53">
        <w:rPr>
          <w:noProof/>
          <w:lang w:eastAsia="fr-FR"/>
        </w:rPr>
        <w:t xml:space="preserve">2025 budget </w:t>
      </w:r>
      <w:r>
        <w:rPr>
          <w:noProof/>
          <w:lang w:eastAsia="fr-FR"/>
        </w:rPr>
        <w:t>remained</w:t>
      </w:r>
      <w:r w:rsidRPr="00230D53">
        <w:rPr>
          <w:noProof/>
          <w:lang w:eastAsia="fr-FR"/>
        </w:rPr>
        <w:t xml:space="preserve"> similar to that of 2024</w:t>
      </w:r>
      <w:r>
        <w:rPr>
          <w:noProof/>
          <w:lang w:eastAsia="fr-FR"/>
        </w:rPr>
        <w:t xml:space="preserve">, while </w:t>
      </w:r>
      <w:r w:rsidRPr="00230D53">
        <w:rPr>
          <w:noProof/>
          <w:lang w:eastAsia="fr-FR"/>
        </w:rPr>
        <w:t>its staff slightly increased to 51 employees</w:t>
      </w:r>
      <w:r w:rsidRPr="00230D53">
        <w:rPr>
          <w:rStyle w:val="FootnoteReference"/>
          <w:noProof/>
          <w:lang w:eastAsia="fr-FR"/>
        </w:rPr>
        <w:footnoteReference w:id="70"/>
      </w:r>
      <w:r w:rsidRPr="00230D53">
        <w:rPr>
          <w:noProof/>
          <w:lang w:eastAsia="fr-FR"/>
        </w:rPr>
        <w:t xml:space="preserve">. </w:t>
      </w:r>
      <w:r>
        <w:rPr>
          <w:noProof/>
          <w:lang w:eastAsia="fr-FR"/>
        </w:rPr>
        <w:t>At the same time, t</w:t>
      </w:r>
      <w:r w:rsidRPr="00230D53">
        <w:rPr>
          <w:noProof/>
          <w:lang w:eastAsia="fr-FR"/>
        </w:rPr>
        <w:t xml:space="preserve">he CPC </w:t>
      </w:r>
      <w:r>
        <w:rPr>
          <w:noProof/>
          <w:lang w:eastAsia="fr-FR"/>
        </w:rPr>
        <w:t xml:space="preserve">argued that </w:t>
      </w:r>
      <w:r w:rsidRPr="00230D53">
        <w:rPr>
          <w:noProof/>
          <w:lang w:eastAsia="fr-FR"/>
        </w:rPr>
        <w:t xml:space="preserve">lawsuits challenging </w:t>
      </w:r>
      <w:r>
        <w:rPr>
          <w:noProof/>
          <w:lang w:eastAsia="fr-FR"/>
        </w:rPr>
        <w:t>its</w:t>
      </w:r>
      <w:r w:rsidRPr="00230D53">
        <w:rPr>
          <w:noProof/>
          <w:lang w:eastAsia="fr-FR"/>
        </w:rPr>
        <w:t xml:space="preserve"> powers</w:t>
      </w:r>
      <w:r>
        <w:rPr>
          <w:noProof/>
          <w:lang w:eastAsia="fr-FR"/>
        </w:rPr>
        <w:t xml:space="preserve"> </w:t>
      </w:r>
      <w:r w:rsidRPr="00230D53">
        <w:rPr>
          <w:noProof/>
          <w:lang w:eastAsia="fr-FR"/>
        </w:rPr>
        <w:t xml:space="preserve">threaten its independence and discredit </w:t>
      </w:r>
      <w:r>
        <w:rPr>
          <w:noProof/>
          <w:lang w:eastAsia="fr-FR"/>
        </w:rPr>
        <w:t>its institutional</w:t>
      </w:r>
      <w:r w:rsidRPr="00230D53">
        <w:rPr>
          <w:noProof/>
          <w:lang w:eastAsia="fr-FR"/>
        </w:rPr>
        <w:t xml:space="preserve"> </w:t>
      </w:r>
      <w:r>
        <w:rPr>
          <w:noProof/>
          <w:lang w:eastAsia="fr-FR"/>
        </w:rPr>
        <w:t>reputation</w:t>
      </w:r>
      <w:r w:rsidRPr="00230D53">
        <w:rPr>
          <w:rStyle w:val="FootnoteReference"/>
          <w:noProof/>
          <w:lang w:eastAsia="fr-FR"/>
        </w:rPr>
        <w:footnoteReference w:id="71"/>
      </w:r>
      <w:r w:rsidRPr="00230D53">
        <w:rPr>
          <w:noProof/>
          <w:lang w:eastAsia="fr-FR"/>
        </w:rPr>
        <w:t xml:space="preserve">. </w:t>
      </w:r>
      <w:r>
        <w:rPr>
          <w:noProof/>
          <w:lang w:eastAsia="fr-FR"/>
        </w:rPr>
        <w:t>Civil</w:t>
      </w:r>
      <w:r w:rsidRPr="00230D53">
        <w:rPr>
          <w:noProof/>
          <w:lang w:eastAsia="fr-FR"/>
        </w:rPr>
        <w:t xml:space="preserve"> </w:t>
      </w:r>
      <w:r>
        <w:rPr>
          <w:noProof/>
          <w:lang w:eastAsia="fr-FR"/>
        </w:rPr>
        <w:t>society similarly considers that such</w:t>
      </w:r>
      <w:r w:rsidRPr="00230D53">
        <w:rPr>
          <w:noProof/>
          <w:lang w:eastAsia="fr-FR"/>
        </w:rPr>
        <w:t xml:space="preserve"> political pressure and l</w:t>
      </w:r>
      <w:r>
        <w:rPr>
          <w:noProof/>
          <w:lang w:eastAsia="fr-FR"/>
        </w:rPr>
        <w:t>egal</w:t>
      </w:r>
      <w:r w:rsidRPr="00230D53">
        <w:rPr>
          <w:noProof/>
          <w:lang w:eastAsia="fr-FR"/>
        </w:rPr>
        <w:t xml:space="preserve"> challeng</w:t>
      </w:r>
      <w:r>
        <w:rPr>
          <w:noProof/>
          <w:lang w:eastAsia="fr-FR"/>
        </w:rPr>
        <w:t xml:space="preserve">es </w:t>
      </w:r>
      <w:r w:rsidRPr="00230D53">
        <w:rPr>
          <w:noProof/>
          <w:lang w:eastAsia="fr-FR"/>
        </w:rPr>
        <w:t xml:space="preserve">could hinder </w:t>
      </w:r>
      <w:r>
        <w:rPr>
          <w:noProof/>
          <w:lang w:eastAsia="fr-FR"/>
        </w:rPr>
        <w:t xml:space="preserve">the </w:t>
      </w:r>
      <w:r w:rsidRPr="00230D53">
        <w:rPr>
          <w:noProof/>
          <w:lang w:eastAsia="fr-FR"/>
        </w:rPr>
        <w:t xml:space="preserve">CPC’s capacity to </w:t>
      </w:r>
      <w:r>
        <w:rPr>
          <w:noProof/>
          <w:lang w:eastAsia="fr-FR"/>
        </w:rPr>
        <w:t>carry out</w:t>
      </w:r>
      <w:r w:rsidRPr="00230D53">
        <w:rPr>
          <w:noProof/>
          <w:lang w:eastAsia="fr-FR"/>
        </w:rPr>
        <w:t xml:space="preserve"> its mandate</w:t>
      </w:r>
      <w:r w:rsidRPr="00230D53">
        <w:rPr>
          <w:rStyle w:val="FootnoteReference"/>
          <w:noProof/>
          <w:lang w:eastAsia="fr-FR"/>
        </w:rPr>
        <w:footnoteReference w:id="72"/>
      </w:r>
      <w:r w:rsidRPr="00230D53">
        <w:rPr>
          <w:noProof/>
          <w:lang w:eastAsia="fr-FR"/>
        </w:rPr>
        <w:t xml:space="preserve">. </w:t>
      </w:r>
    </w:p>
    <w:p w14:paraId="01AB74AC" w14:textId="0D285F8D" w:rsidR="001D33E1" w:rsidRPr="00230D53" w:rsidRDefault="001D33E1" w:rsidP="001D33E1">
      <w:pPr>
        <w:rPr>
          <w:noProof/>
          <w:szCs w:val="24"/>
          <w:lang w:eastAsia="fr-FR"/>
        </w:rPr>
      </w:pPr>
      <w:r w:rsidRPr="00230D53">
        <w:rPr>
          <w:b/>
          <w:noProof/>
          <w:szCs w:val="24"/>
          <w:lang w:eastAsia="fr-FR"/>
        </w:rPr>
        <w:t xml:space="preserve">The new Public Employees Act </w:t>
      </w:r>
      <w:r w:rsidRPr="00230D53">
        <w:rPr>
          <w:b/>
          <w:bCs/>
          <w:noProof/>
          <w:szCs w:val="24"/>
          <w:lang w:eastAsia="fr-FR"/>
        </w:rPr>
        <w:t>unified</w:t>
      </w:r>
      <w:r w:rsidRPr="00230D53">
        <w:rPr>
          <w:b/>
          <w:noProof/>
          <w:szCs w:val="24"/>
          <w:lang w:eastAsia="fr-FR"/>
        </w:rPr>
        <w:t xml:space="preserve"> the regulation of conflicts of interest for all public officials</w:t>
      </w:r>
      <w:r w:rsidRPr="00230D53">
        <w:rPr>
          <w:b/>
          <w:bCs/>
          <w:noProof/>
          <w:szCs w:val="24"/>
          <w:lang w:eastAsia="fr-FR"/>
        </w:rPr>
        <w:t>.</w:t>
      </w:r>
      <w:r w:rsidRPr="00230D53">
        <w:rPr>
          <w:b/>
          <w:noProof/>
          <w:szCs w:val="24"/>
          <w:lang w:eastAsia="fr-FR"/>
        </w:rPr>
        <w:t xml:space="preserve"> </w:t>
      </w:r>
      <w:r w:rsidRPr="00230D53">
        <w:rPr>
          <w:noProof/>
          <w:szCs w:val="24"/>
          <w:lang w:eastAsia="fr-FR"/>
        </w:rPr>
        <w:t xml:space="preserve">As of 1 January 2026, all public officials fall under the CPC’s jurisdiction, which is competent to review all </w:t>
      </w:r>
      <w:r>
        <w:rPr>
          <w:noProof/>
          <w:szCs w:val="24"/>
          <w:lang w:eastAsia="fr-FR"/>
        </w:rPr>
        <w:t xml:space="preserve">cases of </w:t>
      </w:r>
      <w:r w:rsidRPr="00230D53">
        <w:rPr>
          <w:noProof/>
          <w:szCs w:val="24"/>
          <w:lang w:eastAsia="fr-FR"/>
        </w:rPr>
        <w:t>conflict of interest</w:t>
      </w:r>
      <w:r w:rsidRPr="00230D53">
        <w:rPr>
          <w:rStyle w:val="FootnoteReference"/>
          <w:noProof/>
          <w:szCs w:val="24"/>
          <w:lang w:eastAsia="fr-FR"/>
        </w:rPr>
        <w:footnoteReference w:id="73"/>
      </w:r>
      <w:r w:rsidRPr="00230D53">
        <w:rPr>
          <w:noProof/>
          <w:szCs w:val="24"/>
          <w:lang w:eastAsia="fr-FR"/>
        </w:rPr>
        <w:t>. Any activity intended to generate income or material gain</w:t>
      </w:r>
      <w:r>
        <w:rPr>
          <w:noProof/>
          <w:szCs w:val="24"/>
          <w:lang w:eastAsia="fr-FR"/>
        </w:rPr>
        <w:t xml:space="preserve"> must be notified in advance to their superiors</w:t>
      </w:r>
      <w:r w:rsidRPr="00230D53">
        <w:rPr>
          <w:noProof/>
          <w:szCs w:val="24"/>
          <w:lang w:eastAsia="fr-FR"/>
        </w:rPr>
        <w:t xml:space="preserve">, who may prohibit it under certain conditions. According to the CPC, </w:t>
      </w:r>
      <w:r w:rsidRPr="00701808">
        <w:rPr>
          <w:noProof/>
          <w:szCs w:val="24"/>
          <w:lang w:eastAsia="fr-FR"/>
        </w:rPr>
        <w:t>this is expected to improve the consistency of the framework on conflicts of interest</w:t>
      </w:r>
      <w:r w:rsidRPr="00230D53">
        <w:rPr>
          <w:noProof/>
          <w:szCs w:val="24"/>
          <w:lang w:eastAsia="fr-FR"/>
        </w:rPr>
        <w:t>.</w:t>
      </w:r>
      <w:r w:rsidRPr="00230D53">
        <w:rPr>
          <w:b/>
          <w:noProof/>
          <w:szCs w:val="24"/>
          <w:lang w:eastAsia="fr-FR"/>
        </w:rPr>
        <w:t xml:space="preserve"> </w:t>
      </w:r>
      <w:r w:rsidRPr="00230D53">
        <w:rPr>
          <w:noProof/>
          <w:szCs w:val="24"/>
          <w:lang w:eastAsia="fr-FR"/>
        </w:rPr>
        <w:t xml:space="preserve">The CPC </w:t>
      </w:r>
      <w:r w:rsidR="00523B1B">
        <w:rPr>
          <w:noProof/>
          <w:szCs w:val="24"/>
          <w:lang w:eastAsia="fr-FR"/>
        </w:rPr>
        <w:t>plan</w:t>
      </w:r>
      <w:r w:rsidR="001A3BBA">
        <w:rPr>
          <w:noProof/>
          <w:szCs w:val="24"/>
          <w:lang w:eastAsia="fr-FR"/>
        </w:rPr>
        <w:t>s</w:t>
      </w:r>
      <w:r w:rsidR="00523B1B">
        <w:rPr>
          <w:noProof/>
          <w:szCs w:val="24"/>
          <w:lang w:eastAsia="fr-FR"/>
        </w:rPr>
        <w:t xml:space="preserve"> to recruit</w:t>
      </w:r>
      <w:r w:rsidR="00CA113B">
        <w:rPr>
          <w:noProof/>
          <w:szCs w:val="24"/>
          <w:lang w:eastAsia="fr-FR"/>
        </w:rPr>
        <w:t>,</w:t>
      </w:r>
      <w:r w:rsidR="00523B1B">
        <w:rPr>
          <w:noProof/>
          <w:szCs w:val="24"/>
          <w:lang w:eastAsia="fr-FR"/>
        </w:rPr>
        <w:t xml:space="preserve"> </w:t>
      </w:r>
      <w:r w:rsidR="00CD6175" w:rsidRPr="001C1F7C">
        <w:rPr>
          <w:noProof/>
          <w:szCs w:val="24"/>
          <w:lang w:eastAsia="fr-FR"/>
        </w:rPr>
        <w:t>within its existing 2026 budget</w:t>
      </w:r>
      <w:r w:rsidR="00CA113B" w:rsidRPr="001C1F7C">
        <w:rPr>
          <w:noProof/>
          <w:szCs w:val="24"/>
          <w:lang w:eastAsia="fr-FR"/>
        </w:rPr>
        <w:t>,</w:t>
      </w:r>
      <w:r w:rsidRPr="00230D53">
        <w:rPr>
          <w:noProof/>
          <w:szCs w:val="24"/>
          <w:lang w:eastAsia="fr-FR"/>
        </w:rPr>
        <w:t xml:space="preserve"> two additional members of staff to </w:t>
      </w:r>
      <w:r>
        <w:rPr>
          <w:noProof/>
          <w:szCs w:val="24"/>
          <w:lang w:eastAsia="fr-FR"/>
        </w:rPr>
        <w:t>address</w:t>
      </w:r>
      <w:r w:rsidRPr="00230D53">
        <w:rPr>
          <w:noProof/>
          <w:szCs w:val="24"/>
          <w:lang w:eastAsia="fr-FR"/>
        </w:rPr>
        <w:t xml:space="preserve"> the increased workload</w:t>
      </w:r>
      <w:r w:rsidR="0024751F">
        <w:rPr>
          <w:noProof/>
          <w:szCs w:val="24"/>
          <w:lang w:eastAsia="fr-FR"/>
        </w:rPr>
        <w:t xml:space="preserve">. </w:t>
      </w:r>
      <w:r w:rsidR="0024751F" w:rsidRPr="001C1F7C">
        <w:rPr>
          <w:noProof/>
          <w:szCs w:val="24"/>
          <w:lang w:eastAsia="fr-FR"/>
        </w:rPr>
        <w:t>At</w:t>
      </w:r>
      <w:r w:rsidR="0024751F" w:rsidRPr="006433C7">
        <w:rPr>
          <w:noProof/>
          <w:szCs w:val="24"/>
          <w:u w:val="single"/>
          <w:lang w:eastAsia="fr-FR"/>
        </w:rPr>
        <w:t xml:space="preserve"> </w:t>
      </w:r>
      <w:r w:rsidR="0024751F" w:rsidRPr="001C1F7C">
        <w:rPr>
          <w:noProof/>
          <w:szCs w:val="24"/>
          <w:lang w:eastAsia="fr-FR"/>
        </w:rPr>
        <w:t>the time of reporting, one of these positions has already been filled</w:t>
      </w:r>
      <w:r w:rsidRPr="00230D53">
        <w:rPr>
          <w:rStyle w:val="FootnoteReference"/>
          <w:noProof/>
          <w:szCs w:val="24"/>
          <w:lang w:eastAsia="fr-FR"/>
        </w:rPr>
        <w:footnoteReference w:id="74"/>
      </w:r>
      <w:r w:rsidRPr="00230D53">
        <w:rPr>
          <w:noProof/>
          <w:szCs w:val="24"/>
          <w:lang w:eastAsia="fr-FR"/>
        </w:rPr>
        <w:t xml:space="preserve">. </w:t>
      </w:r>
      <w:r>
        <w:rPr>
          <w:noProof/>
          <w:szCs w:val="24"/>
          <w:lang w:eastAsia="fr-FR"/>
        </w:rPr>
        <w:t>It also</w:t>
      </w:r>
      <w:r w:rsidRPr="00230D53">
        <w:rPr>
          <w:noProof/>
          <w:szCs w:val="24"/>
          <w:lang w:eastAsia="fr-FR"/>
        </w:rPr>
        <w:t xml:space="preserve"> underlines the need to raise awareness on the rules</w:t>
      </w:r>
      <w:r>
        <w:rPr>
          <w:noProof/>
          <w:szCs w:val="24"/>
          <w:lang w:eastAsia="fr-FR"/>
        </w:rPr>
        <w:t xml:space="preserve"> on conflicts of interest</w:t>
      </w:r>
      <w:r w:rsidRPr="00230D53">
        <w:rPr>
          <w:noProof/>
          <w:szCs w:val="24"/>
          <w:lang w:eastAsia="fr-FR"/>
        </w:rPr>
        <w:t>, particularly at local level</w:t>
      </w:r>
      <w:r w:rsidRPr="00230D53">
        <w:rPr>
          <w:rStyle w:val="FootnoteReference"/>
          <w:noProof/>
          <w:szCs w:val="24"/>
          <w:lang w:eastAsia="fr-FR"/>
        </w:rPr>
        <w:footnoteReference w:id="75"/>
      </w:r>
      <w:r w:rsidRPr="00230D53">
        <w:rPr>
          <w:noProof/>
          <w:szCs w:val="24"/>
          <w:lang w:eastAsia="fr-FR"/>
        </w:rPr>
        <w:t>. To address GRECO recommendations</w:t>
      </w:r>
      <w:r w:rsidRPr="00230D53">
        <w:rPr>
          <w:rStyle w:val="FootnoteReference"/>
          <w:noProof/>
          <w:szCs w:val="24"/>
          <w:lang w:eastAsia="fr-FR"/>
        </w:rPr>
        <w:footnoteReference w:id="76"/>
      </w:r>
      <w:r w:rsidRPr="00230D53">
        <w:rPr>
          <w:noProof/>
          <w:szCs w:val="24"/>
          <w:lang w:eastAsia="fr-FR"/>
        </w:rPr>
        <w:t xml:space="preserve">, a protocol is </w:t>
      </w:r>
      <w:r>
        <w:rPr>
          <w:noProof/>
          <w:szCs w:val="24"/>
          <w:lang w:eastAsia="fr-FR"/>
        </w:rPr>
        <w:t>under</w:t>
      </w:r>
      <w:r w:rsidRPr="00230D53">
        <w:rPr>
          <w:noProof/>
          <w:szCs w:val="24"/>
          <w:lang w:eastAsia="fr-FR"/>
        </w:rPr>
        <w:t xml:space="preserve"> preparation</w:t>
      </w:r>
      <w:r w:rsidRPr="00230D53">
        <w:rPr>
          <w:rStyle w:val="FootnoteReference"/>
          <w:noProof/>
          <w:szCs w:val="24"/>
          <w:lang w:eastAsia="fr-FR"/>
        </w:rPr>
        <w:footnoteReference w:id="77"/>
      </w:r>
      <w:r w:rsidRPr="00230D53">
        <w:rPr>
          <w:noProof/>
          <w:szCs w:val="24"/>
          <w:lang w:eastAsia="fr-FR"/>
        </w:rPr>
        <w:t xml:space="preserve"> </w:t>
      </w:r>
      <w:r>
        <w:rPr>
          <w:noProof/>
          <w:szCs w:val="24"/>
          <w:lang w:eastAsia="fr-FR"/>
        </w:rPr>
        <w:t xml:space="preserve">to </w:t>
      </w:r>
      <w:r w:rsidRPr="00230D53">
        <w:rPr>
          <w:noProof/>
          <w:szCs w:val="24"/>
          <w:lang w:eastAsia="fr-FR"/>
        </w:rPr>
        <w:t xml:space="preserve">establish preventive mechanisms applicable to members of </w:t>
      </w:r>
      <w:r w:rsidR="00BC547A">
        <w:rPr>
          <w:noProof/>
          <w:szCs w:val="24"/>
          <w:lang w:eastAsia="fr-FR"/>
        </w:rPr>
        <w:t>G</w:t>
      </w:r>
      <w:r w:rsidRPr="00230D53">
        <w:rPr>
          <w:noProof/>
          <w:szCs w:val="24"/>
          <w:lang w:eastAsia="fr-FR"/>
        </w:rPr>
        <w:t>overnment in the areas of conflict</w:t>
      </w:r>
      <w:r>
        <w:rPr>
          <w:noProof/>
          <w:szCs w:val="24"/>
          <w:lang w:eastAsia="fr-FR"/>
        </w:rPr>
        <w:t>s</w:t>
      </w:r>
      <w:r w:rsidRPr="00230D53">
        <w:rPr>
          <w:noProof/>
          <w:szCs w:val="24"/>
          <w:lang w:eastAsia="fr-FR"/>
        </w:rPr>
        <w:t xml:space="preserve"> of interest, gifts, incompatibilities, assets reporting and lobbying. The CPC continues to monitor high volumes of asset declarations, although its effectiveness is</w:t>
      </w:r>
      <w:r>
        <w:rPr>
          <w:noProof/>
          <w:szCs w:val="24"/>
          <w:lang w:eastAsia="fr-FR"/>
        </w:rPr>
        <w:t xml:space="preserve"> reportedly</w:t>
      </w:r>
      <w:r w:rsidRPr="00230D53">
        <w:rPr>
          <w:noProof/>
          <w:szCs w:val="24"/>
          <w:lang w:eastAsia="fr-FR"/>
        </w:rPr>
        <w:t xml:space="preserve"> constrained by limited human resources</w:t>
      </w:r>
      <w:r w:rsidRPr="00230D53">
        <w:rPr>
          <w:rStyle w:val="FootnoteReference"/>
          <w:noProof/>
          <w:szCs w:val="24"/>
          <w:lang w:eastAsia="fr-FR"/>
        </w:rPr>
        <w:footnoteReference w:id="78"/>
      </w:r>
      <w:r w:rsidRPr="00230D53">
        <w:rPr>
          <w:noProof/>
          <w:szCs w:val="24"/>
          <w:lang w:eastAsia="fr-FR"/>
        </w:rPr>
        <w:t xml:space="preserve">. </w:t>
      </w:r>
      <w:r>
        <w:rPr>
          <w:noProof/>
          <w:szCs w:val="24"/>
          <w:lang w:eastAsia="fr-FR"/>
        </w:rPr>
        <w:t xml:space="preserve">The CPC </w:t>
      </w:r>
      <w:r w:rsidRPr="00833D48">
        <w:rPr>
          <w:noProof/>
          <w:szCs w:val="24"/>
          <w:lang w:eastAsia="fr-FR"/>
        </w:rPr>
        <w:t>issued recommendations to tackle risks related to the transfer of State officials to State-owned companies</w:t>
      </w:r>
      <w:r w:rsidRPr="00833D48">
        <w:rPr>
          <w:rStyle w:val="FootnoteReference"/>
          <w:noProof/>
          <w:lang w:eastAsia="fr-FR"/>
        </w:rPr>
        <w:footnoteReference w:id="79"/>
      </w:r>
      <w:r w:rsidRPr="00833D48">
        <w:rPr>
          <w:noProof/>
          <w:lang w:eastAsia="fr-FR"/>
        </w:rPr>
        <w:t xml:space="preserve">. </w:t>
      </w:r>
    </w:p>
    <w:p w14:paraId="29A79964" w14:textId="77777777" w:rsidR="001D33E1" w:rsidRPr="00230D53" w:rsidRDefault="001D33E1" w:rsidP="001D33E1">
      <w:pPr>
        <w:rPr>
          <w:noProof/>
          <w:szCs w:val="24"/>
          <w:lang w:eastAsia="fr-FR"/>
        </w:rPr>
      </w:pPr>
      <w:r w:rsidRPr="00203ED8">
        <w:rPr>
          <w:b/>
          <w:bCs/>
          <w:noProof/>
          <w:szCs w:val="24"/>
          <w:lang w:eastAsia="fr-FR"/>
        </w:rPr>
        <w:t xml:space="preserve">The </w:t>
      </w:r>
      <w:r w:rsidRPr="002B0335">
        <w:rPr>
          <w:b/>
          <w:bCs/>
          <w:noProof/>
          <w:szCs w:val="24"/>
          <w:lang w:eastAsia="fr-FR"/>
        </w:rPr>
        <w:t xml:space="preserve">Commission for the Prevention of Corruption </w:t>
      </w:r>
      <w:r w:rsidRPr="00203ED8">
        <w:rPr>
          <w:b/>
          <w:bCs/>
          <w:noProof/>
          <w:szCs w:val="24"/>
          <w:lang w:eastAsia="fr-FR"/>
        </w:rPr>
        <w:t>continue</w:t>
      </w:r>
      <w:r>
        <w:rPr>
          <w:b/>
          <w:bCs/>
          <w:noProof/>
          <w:szCs w:val="24"/>
          <w:lang w:eastAsia="fr-FR"/>
        </w:rPr>
        <w:t>d</w:t>
      </w:r>
      <w:r w:rsidRPr="00203ED8">
        <w:rPr>
          <w:b/>
          <w:bCs/>
          <w:noProof/>
          <w:szCs w:val="24"/>
          <w:lang w:eastAsia="fr-FR"/>
        </w:rPr>
        <w:t xml:space="preserve"> to underline the low reporting levels of lobbying contacts</w:t>
      </w:r>
      <w:r w:rsidRPr="00230D53">
        <w:rPr>
          <w:rStyle w:val="FootnoteReference"/>
          <w:noProof/>
          <w:szCs w:val="24"/>
          <w:lang w:eastAsia="fr-FR"/>
        </w:rPr>
        <w:footnoteReference w:id="80"/>
      </w:r>
      <w:r w:rsidRPr="00230D53">
        <w:rPr>
          <w:noProof/>
          <w:szCs w:val="24"/>
          <w:lang w:eastAsia="fr-FR"/>
        </w:rPr>
        <w:t xml:space="preserve">. On </w:t>
      </w:r>
      <w:r>
        <w:rPr>
          <w:noProof/>
          <w:szCs w:val="24"/>
          <w:lang w:eastAsia="fr-FR"/>
        </w:rPr>
        <w:t>31 December 2025, the CPC maintained a public register of 84 registered professional lobbyists</w:t>
      </w:r>
      <w:r>
        <w:rPr>
          <w:rStyle w:val="FootnoteReference"/>
          <w:noProof/>
          <w:szCs w:val="24"/>
          <w:lang w:eastAsia="fr-FR"/>
        </w:rPr>
        <w:footnoteReference w:id="81"/>
      </w:r>
      <w:r>
        <w:rPr>
          <w:noProof/>
          <w:szCs w:val="24"/>
          <w:lang w:eastAsia="fr-FR"/>
        </w:rPr>
        <w:t>, of which only 45 submitted their mandatory lobbying activity reports</w:t>
      </w:r>
      <w:r>
        <w:rPr>
          <w:rStyle w:val="FootnoteReference"/>
          <w:noProof/>
          <w:szCs w:val="24"/>
          <w:lang w:eastAsia="fr-FR"/>
        </w:rPr>
        <w:footnoteReference w:id="82"/>
      </w:r>
      <w:r>
        <w:rPr>
          <w:noProof/>
          <w:szCs w:val="24"/>
          <w:lang w:eastAsia="fr-FR"/>
        </w:rPr>
        <w:t xml:space="preserve">. </w:t>
      </w:r>
      <w:r w:rsidRPr="00230D53">
        <w:rPr>
          <w:noProof/>
          <w:szCs w:val="24"/>
          <w:lang w:eastAsia="fr-FR"/>
        </w:rPr>
        <w:t>Civil society considered that many meetings at national and local level were not registered and continued to advocate for the alignment of the respective reporting deadlines for contacts between interest representatives and officials to improve the functioning of the lobbying system</w:t>
      </w:r>
      <w:r w:rsidRPr="00230D53">
        <w:rPr>
          <w:rStyle w:val="FootnoteReference"/>
          <w:noProof/>
          <w:szCs w:val="24"/>
          <w:lang w:eastAsia="fr-FR"/>
        </w:rPr>
        <w:footnoteReference w:id="83"/>
      </w:r>
      <w:r w:rsidRPr="00230D53">
        <w:rPr>
          <w:noProof/>
          <w:szCs w:val="24"/>
          <w:lang w:eastAsia="fr-FR"/>
        </w:rPr>
        <w:t xml:space="preserve">. </w:t>
      </w:r>
    </w:p>
    <w:p w14:paraId="1DB45FEF" w14:textId="4923509F" w:rsidR="001D33E1" w:rsidRPr="00230D53" w:rsidRDefault="001D33E1" w:rsidP="001D33E1">
      <w:pPr>
        <w:tabs>
          <w:tab w:val="num" w:pos="720"/>
        </w:tabs>
        <w:rPr>
          <w:noProof/>
          <w:lang w:eastAsia="fr-FR"/>
        </w:rPr>
      </w:pPr>
      <w:r w:rsidRPr="00230D53">
        <w:rPr>
          <w:b/>
          <w:bCs/>
          <w:noProof/>
          <w:lang w:eastAsia="fr-FR"/>
        </w:rPr>
        <w:t>In</w:t>
      </w:r>
      <w:r w:rsidRPr="11D8FABE">
        <w:rPr>
          <w:b/>
          <w:bCs/>
          <w:noProof/>
          <w:lang w:eastAsia="fr-FR"/>
        </w:rPr>
        <w:t xml:space="preserve"> its final </w:t>
      </w:r>
      <w:r w:rsidRPr="00A36547">
        <w:rPr>
          <w:b/>
          <w:bCs/>
          <w:noProof/>
          <w:lang w:eastAsia="fr-FR"/>
        </w:rPr>
        <w:t xml:space="preserve">report on </w:t>
      </w:r>
      <w:r w:rsidRPr="00A36547">
        <w:rPr>
          <w:b/>
          <w:noProof/>
          <w:lang w:eastAsia="fr-FR"/>
        </w:rPr>
        <w:t xml:space="preserve">alleged illegal financing of </w:t>
      </w:r>
      <w:r w:rsidR="00A56C30" w:rsidRPr="00A36547">
        <w:rPr>
          <w:b/>
          <w:noProof/>
          <w:lang w:eastAsia="fr-FR"/>
        </w:rPr>
        <w:t>certain</w:t>
      </w:r>
      <w:r w:rsidRPr="00A36547">
        <w:rPr>
          <w:b/>
          <w:noProof/>
          <w:lang w:eastAsia="fr-FR"/>
        </w:rPr>
        <w:t xml:space="preserve"> political parties in the 2022 elections,</w:t>
      </w:r>
      <w:r w:rsidRPr="00A36547">
        <w:rPr>
          <w:b/>
          <w:bCs/>
          <w:noProof/>
          <w:lang w:eastAsia="fr-FR"/>
        </w:rPr>
        <w:t xml:space="preserve"> the </w:t>
      </w:r>
      <w:r w:rsidR="00357BD8">
        <w:rPr>
          <w:b/>
          <w:bCs/>
          <w:noProof/>
          <w:lang w:eastAsia="fr-FR"/>
        </w:rPr>
        <w:t xml:space="preserve">former </w:t>
      </w:r>
      <w:r w:rsidR="00022117" w:rsidRPr="00A36547">
        <w:rPr>
          <w:b/>
          <w:noProof/>
          <w:lang w:eastAsia="fr-FR"/>
        </w:rPr>
        <w:t>parliamentary majority</w:t>
      </w:r>
      <w:r w:rsidRPr="00A36547">
        <w:rPr>
          <w:b/>
          <w:noProof/>
          <w:lang w:eastAsia="fr-FR"/>
        </w:rPr>
        <w:t xml:space="preserve"> concluded</w:t>
      </w:r>
      <w:r w:rsidRPr="007B0946">
        <w:rPr>
          <w:b/>
          <w:noProof/>
          <w:lang w:eastAsia="fr-FR"/>
        </w:rPr>
        <w:t xml:space="preserve"> that funding from </w:t>
      </w:r>
      <w:r>
        <w:rPr>
          <w:b/>
          <w:noProof/>
          <w:lang w:eastAsia="fr-FR"/>
        </w:rPr>
        <w:t>s</w:t>
      </w:r>
      <w:r w:rsidRPr="007B0946">
        <w:rPr>
          <w:b/>
          <w:noProof/>
          <w:lang w:eastAsia="fr-FR"/>
        </w:rPr>
        <w:t>tate-owned enterprises and other public sources were channelled to political parties</w:t>
      </w:r>
      <w:r w:rsidRPr="00230D53">
        <w:rPr>
          <w:b/>
          <w:bCs/>
          <w:noProof/>
          <w:lang w:eastAsia="fr-FR"/>
        </w:rPr>
        <w:t>.</w:t>
      </w:r>
      <w:r w:rsidRPr="00230D53">
        <w:rPr>
          <w:noProof/>
          <w:lang w:eastAsia="fr-FR"/>
        </w:rPr>
        <w:t xml:space="preserve"> </w:t>
      </w:r>
      <w:r w:rsidR="00575DC4">
        <w:rPr>
          <w:noProof/>
          <w:lang w:eastAsia="fr-FR"/>
        </w:rPr>
        <w:t>Following an inquiry</w:t>
      </w:r>
      <w:r w:rsidR="00575DC4" w:rsidRPr="007B0946">
        <w:rPr>
          <w:noProof/>
          <w:lang w:eastAsia="fr-FR"/>
        </w:rPr>
        <w:t xml:space="preserve">, </w:t>
      </w:r>
      <w:r w:rsidR="00575DC4">
        <w:rPr>
          <w:noProof/>
          <w:lang w:eastAsia="fr-FR"/>
        </w:rPr>
        <w:t>the former parliamentary majority</w:t>
      </w:r>
      <w:r w:rsidR="009079EE">
        <w:rPr>
          <w:noProof/>
          <w:lang w:eastAsia="fr-FR"/>
        </w:rPr>
        <w:t xml:space="preserve"> also concluded that this may have</w:t>
      </w:r>
      <w:r w:rsidR="00575DC4">
        <w:rPr>
          <w:noProof/>
          <w:lang w:eastAsia="fr-FR"/>
        </w:rPr>
        <w:t xml:space="preserve"> </w:t>
      </w:r>
      <w:r w:rsidR="00575DC4" w:rsidRPr="0033174F">
        <w:rPr>
          <w:noProof/>
          <w:lang w:eastAsia="fr-FR"/>
        </w:rPr>
        <w:t xml:space="preserve">circumvented </w:t>
      </w:r>
      <w:r w:rsidR="00575DC4" w:rsidRPr="11D8FABE">
        <w:rPr>
          <w:noProof/>
          <w:lang w:eastAsia="fr-FR"/>
        </w:rPr>
        <w:t>the strict political party financing rules which prohibit funding by legal entities</w:t>
      </w:r>
      <w:r w:rsidRPr="11D8FABE">
        <w:rPr>
          <w:noProof/>
          <w:lang w:eastAsia="fr-FR"/>
        </w:rPr>
        <w:t>. It recommended</w:t>
      </w:r>
      <w:r w:rsidDel="00B96E17">
        <w:rPr>
          <w:noProof/>
          <w:lang w:eastAsia="fr-FR"/>
        </w:rPr>
        <w:t xml:space="preserve"> </w:t>
      </w:r>
      <w:r>
        <w:rPr>
          <w:noProof/>
          <w:lang w:eastAsia="fr-FR"/>
        </w:rPr>
        <w:t>strengthening</w:t>
      </w:r>
      <w:r w:rsidRPr="11D8FABE">
        <w:rPr>
          <w:noProof/>
          <w:lang w:eastAsia="fr-FR"/>
        </w:rPr>
        <w:t xml:space="preserve"> the </w:t>
      </w:r>
      <w:r w:rsidRPr="00230D53">
        <w:rPr>
          <w:noProof/>
          <w:lang w:eastAsia="fr-FR"/>
        </w:rPr>
        <w:t>control over the financing of political parties and revising the Integrity and Prevention of Corruption Act to also cover political party secretary generals</w:t>
      </w:r>
      <w:r w:rsidRPr="00230D53">
        <w:rPr>
          <w:rStyle w:val="FootnoteReference"/>
          <w:noProof/>
          <w:lang w:eastAsia="fr-FR"/>
        </w:rPr>
        <w:footnoteReference w:id="84"/>
      </w:r>
      <w:r w:rsidRPr="00230D53">
        <w:rPr>
          <w:noProof/>
          <w:lang w:eastAsia="fr-FR"/>
        </w:rPr>
        <w:t>. The Court of Audit continues to monitor the financing of political parties</w:t>
      </w:r>
      <w:r>
        <w:rPr>
          <w:noProof/>
          <w:lang w:eastAsia="fr-FR"/>
        </w:rPr>
        <w:t xml:space="preserve"> on a sample basis</w:t>
      </w:r>
      <w:r w:rsidRPr="00230D53">
        <w:rPr>
          <w:noProof/>
          <w:lang w:eastAsia="fr-FR"/>
        </w:rPr>
        <w:t xml:space="preserve"> every year, and of election campaigns, particularly focusing on compliance with bans on corporate funding and strict limits on individual donations</w:t>
      </w:r>
      <w:r w:rsidRPr="00230D53">
        <w:rPr>
          <w:rStyle w:val="FootnoteReference"/>
          <w:noProof/>
          <w:lang w:eastAsia="fr-FR"/>
        </w:rPr>
        <w:footnoteReference w:id="85"/>
      </w:r>
      <w:r w:rsidRPr="00230D53">
        <w:rPr>
          <w:noProof/>
          <w:lang w:eastAsia="fr-FR"/>
        </w:rPr>
        <w:t>. Among the challenges</w:t>
      </w:r>
      <w:r>
        <w:rPr>
          <w:noProof/>
          <w:lang w:eastAsia="fr-FR"/>
        </w:rPr>
        <w:t>,</w:t>
      </w:r>
      <w:r w:rsidRPr="00230D53">
        <w:rPr>
          <w:noProof/>
          <w:lang w:eastAsia="fr-FR"/>
        </w:rPr>
        <w:t xml:space="preserve"> the Court of Audit highlighted the circumventions of the ban on corporate donations, non-monetary contributions to political parties and a blur between regular and other activities in campaigns.</w:t>
      </w:r>
    </w:p>
    <w:p w14:paraId="2BD10CB2" w14:textId="77777777" w:rsidR="001D33E1" w:rsidRPr="00A65B58" w:rsidRDefault="001D33E1" w:rsidP="001D33E1">
      <w:pPr>
        <w:rPr>
          <w:noProof/>
          <w:szCs w:val="24"/>
          <w:lang w:eastAsia="fr-FR"/>
        </w:rPr>
      </w:pPr>
      <w:r w:rsidRPr="00B6121B">
        <w:rPr>
          <w:b/>
          <w:bCs/>
          <w:noProof/>
          <w:szCs w:val="24"/>
          <w:lang w:eastAsia="fr-FR"/>
        </w:rPr>
        <w:t xml:space="preserve">The number of whistleblowers who have been granted a protection status increased in 2025, </w:t>
      </w:r>
      <w:r w:rsidRPr="00230D53">
        <w:rPr>
          <w:b/>
          <w:bCs/>
          <w:noProof/>
          <w:szCs w:val="24"/>
          <w:lang w:eastAsia="fr-FR"/>
        </w:rPr>
        <w:t>indicating</w:t>
      </w:r>
      <w:r>
        <w:rPr>
          <w:b/>
          <w:bCs/>
          <w:noProof/>
          <w:szCs w:val="24"/>
          <w:lang w:eastAsia="fr-FR"/>
        </w:rPr>
        <w:t xml:space="preserve"> better</w:t>
      </w:r>
      <w:r w:rsidRPr="00B6121B">
        <w:rPr>
          <w:b/>
          <w:bCs/>
          <w:noProof/>
          <w:szCs w:val="24"/>
          <w:lang w:eastAsia="fr-FR"/>
        </w:rPr>
        <w:t xml:space="preserve"> awareness of the law and the protection it provides. </w:t>
      </w:r>
      <w:r w:rsidRPr="007B0946">
        <w:rPr>
          <w:noProof/>
          <w:szCs w:val="24"/>
          <w:lang w:eastAsia="fr-FR"/>
        </w:rPr>
        <w:t>In 2025</w:t>
      </w:r>
      <w:r w:rsidRPr="00230D53">
        <w:rPr>
          <w:noProof/>
          <w:szCs w:val="24"/>
          <w:lang w:eastAsia="fr-FR"/>
        </w:rPr>
        <w:t>,</w:t>
      </w:r>
      <w:r w:rsidRPr="007B0946">
        <w:rPr>
          <w:noProof/>
          <w:szCs w:val="24"/>
          <w:lang w:eastAsia="fr-FR"/>
        </w:rPr>
        <w:t xml:space="preserve"> </w:t>
      </w:r>
      <w:r w:rsidRPr="00230D53">
        <w:rPr>
          <w:noProof/>
          <w:szCs w:val="24"/>
          <w:lang w:eastAsia="fr-FR"/>
        </w:rPr>
        <w:t>the</w:t>
      </w:r>
      <w:r w:rsidRPr="00A65B58">
        <w:rPr>
          <w:noProof/>
          <w:szCs w:val="24"/>
          <w:lang w:eastAsia="fr-FR"/>
        </w:rPr>
        <w:t xml:space="preserve"> CPC granted</w:t>
      </w:r>
      <w:r>
        <w:rPr>
          <w:noProof/>
          <w:szCs w:val="24"/>
          <w:lang w:eastAsia="fr-FR"/>
        </w:rPr>
        <w:t xml:space="preserve"> the status of protected reporting person to 23 individuals (compared to seven over the </w:t>
      </w:r>
      <w:r w:rsidDel="00425937">
        <w:rPr>
          <w:noProof/>
          <w:szCs w:val="24"/>
          <w:lang w:eastAsia="fr-FR"/>
        </w:rPr>
        <w:t xml:space="preserve">past </w:t>
      </w:r>
      <w:r>
        <w:rPr>
          <w:noProof/>
          <w:szCs w:val="24"/>
          <w:lang w:eastAsia="fr-FR"/>
        </w:rPr>
        <w:t>two years). However, very few reports related to corruption cases despite awareness raising of whistleblower protection</w:t>
      </w:r>
      <w:r>
        <w:rPr>
          <w:rStyle w:val="FootnoteReference"/>
          <w:noProof/>
          <w:szCs w:val="24"/>
          <w:lang w:eastAsia="fr-FR"/>
        </w:rPr>
        <w:footnoteReference w:id="86"/>
      </w:r>
      <w:r>
        <w:rPr>
          <w:noProof/>
          <w:szCs w:val="24"/>
          <w:lang w:eastAsia="fr-FR"/>
        </w:rPr>
        <w:t>. The CPC continued to provide training and guidance to stakeholders regarding reporting channels and whistleblower protection and raised awareness about its role in detecting corruption. The CPC also conducted an analysis of internal reporting channels in municipalities and concluded that 66 municipalities out of 212 in total</w:t>
      </w:r>
      <w:r w:rsidRPr="00230D53">
        <w:rPr>
          <w:noProof/>
          <w:szCs w:val="24"/>
          <w:lang w:eastAsia="fr-FR"/>
        </w:rPr>
        <w:t xml:space="preserve"> </w:t>
      </w:r>
      <w:r>
        <w:rPr>
          <w:noProof/>
          <w:szCs w:val="24"/>
          <w:lang w:eastAsia="fr-FR"/>
        </w:rPr>
        <w:t>did not establish an internal reporting channel. It thereafter provided recommendations and assistance to municipalities in this regard</w:t>
      </w:r>
      <w:r>
        <w:rPr>
          <w:rStyle w:val="FootnoteReference"/>
          <w:noProof/>
          <w:szCs w:val="24"/>
          <w:lang w:eastAsia="fr-FR"/>
        </w:rPr>
        <w:footnoteReference w:id="87"/>
      </w:r>
      <w:r>
        <w:rPr>
          <w:noProof/>
          <w:szCs w:val="24"/>
          <w:lang w:eastAsia="fr-FR"/>
        </w:rPr>
        <w:t>.</w:t>
      </w:r>
    </w:p>
    <w:p w14:paraId="0DE0DD56" w14:textId="77777777" w:rsidR="001D33E1" w:rsidRPr="00230D53" w:rsidRDefault="001D33E1" w:rsidP="001D33E1">
      <w:pPr>
        <w:rPr>
          <w:b/>
          <w:bCs/>
          <w:i/>
          <w:iCs/>
          <w:noProof/>
          <w:lang w:eastAsia="fr-FR"/>
        </w:rPr>
      </w:pPr>
      <w:r w:rsidRPr="5050C6D7">
        <w:rPr>
          <w:b/>
          <w:bCs/>
          <w:noProof/>
          <w:lang w:eastAsia="fr-FR"/>
        </w:rPr>
        <w:t xml:space="preserve">Large infrastructure projects and the healthcare sector are considered, among others, as high-risk areas, and the CPC issued recommendations to the Government on necessary corruption prevention measures in large infrastructure projects. </w:t>
      </w:r>
      <w:r w:rsidRPr="5050C6D7">
        <w:rPr>
          <w:noProof/>
          <w:lang w:eastAsia="fr-FR"/>
        </w:rPr>
        <w:t xml:space="preserve">Businesses’ attitudes towards corruption in the EU show </w:t>
      </w:r>
      <w:r w:rsidRPr="00234A0F">
        <w:rPr>
          <w:noProof/>
          <w:lang w:eastAsia="fr-FR"/>
        </w:rPr>
        <w:t>that 30% of companies in Slovenia (EU average 30%) think that corruption has prevented them from winning a public tender in practice in the last three years</w:t>
      </w:r>
      <w:r w:rsidRPr="00234A0F">
        <w:rPr>
          <w:rFonts w:eastAsia="Calibri"/>
          <w:noProof/>
          <w:szCs w:val="24"/>
          <w:vertAlign w:val="superscript"/>
          <w:lang w:val="en-IE"/>
        </w:rPr>
        <w:footnoteReference w:id="88"/>
      </w:r>
      <w:r w:rsidRPr="00234A0F">
        <w:rPr>
          <w:noProof/>
          <w:lang w:eastAsia="fr-FR"/>
        </w:rPr>
        <w:t>. 59% of businesses perceive the level of independence of the public procurement review body (National Review Commission) as very or fairly good when it is reviewing public procurement cases</w:t>
      </w:r>
      <w:r w:rsidRPr="00234A0F">
        <w:rPr>
          <w:noProof/>
          <w:szCs w:val="24"/>
          <w:vertAlign w:val="superscript"/>
        </w:rPr>
        <w:footnoteReference w:id="89"/>
      </w:r>
      <w:r w:rsidRPr="00234A0F">
        <w:rPr>
          <w:noProof/>
          <w:lang w:eastAsia="fr-FR"/>
        </w:rPr>
        <w:t>.</w:t>
      </w:r>
      <w:r w:rsidRPr="00234A0F">
        <w:rPr>
          <w:noProof/>
          <w:vertAlign w:val="superscript"/>
          <w:lang w:eastAsia="fr-FR"/>
        </w:rPr>
        <w:t>.</w:t>
      </w:r>
      <w:r w:rsidRPr="00234A0F">
        <w:rPr>
          <w:noProof/>
          <w:lang w:eastAsia="fr-FR"/>
        </w:rPr>
        <w:t>The Single Market and Competitiveness Scoreboard on access to public procurement in Slovenia reports 44% of single bids for 2025 (EU average 27%). The Ministry of Public Administration continued</w:t>
      </w:r>
      <w:r w:rsidRPr="5050C6D7">
        <w:rPr>
          <w:noProof/>
          <w:lang w:eastAsia="fr-FR"/>
        </w:rPr>
        <w:t xml:space="preserve"> to implement two multi-year action plans, namely the Plan to increase competition in public procurement (2025-2030) and the Public Procurement Digital Transformation Plan (2025-2030), which aim to increase transparency, professionalisation and analytics and upgrade e-procurement capabilities</w:t>
      </w:r>
      <w:r w:rsidRPr="5050C6D7">
        <w:rPr>
          <w:rStyle w:val="FootnoteReference"/>
          <w:noProof/>
          <w:lang w:eastAsia="fr-FR"/>
        </w:rPr>
        <w:footnoteReference w:id="90"/>
      </w:r>
      <w:r w:rsidRPr="5050C6D7">
        <w:rPr>
          <w:noProof/>
          <w:lang w:eastAsia="fr-FR"/>
        </w:rPr>
        <w:t>. The National Review Commission expressed support for the simplification of the public procurement procedures and for the introduction of a single information system for public procurement, both of which would lower the administrative burden on SMEs</w:t>
      </w:r>
      <w:r w:rsidRPr="5050C6D7">
        <w:rPr>
          <w:rStyle w:val="FootnoteReference"/>
          <w:noProof/>
          <w:lang w:eastAsia="fr-FR"/>
        </w:rPr>
        <w:footnoteReference w:id="91"/>
      </w:r>
      <w:r w:rsidRPr="5050C6D7">
        <w:rPr>
          <w:noProof/>
          <w:lang w:eastAsia="fr-FR"/>
        </w:rPr>
        <w:t>. The Court of Audit considered large infrastructure projects, healthcare public procurement, spatial planning and granting licences at local level as high-risk areas</w:t>
      </w:r>
      <w:r w:rsidRPr="5050C6D7">
        <w:rPr>
          <w:rStyle w:val="FootnoteReference"/>
          <w:noProof/>
          <w:lang w:eastAsia="fr-FR"/>
        </w:rPr>
        <w:footnoteReference w:id="92"/>
      </w:r>
      <w:r w:rsidRPr="5050C6D7">
        <w:rPr>
          <w:noProof/>
          <w:lang w:eastAsia="fr-FR"/>
        </w:rPr>
        <w:t>. Civil society underlined that infrastructure projects, such as railways and the healthcare sector, are high-risk areas</w:t>
      </w:r>
      <w:r w:rsidRPr="5050C6D7">
        <w:rPr>
          <w:rStyle w:val="FootnoteReference"/>
          <w:noProof/>
          <w:lang w:eastAsia="fr-FR"/>
        </w:rPr>
        <w:footnoteReference w:id="93"/>
      </w:r>
      <w:r w:rsidRPr="5050C6D7">
        <w:rPr>
          <w:noProof/>
          <w:lang w:eastAsia="fr-FR"/>
        </w:rPr>
        <w:t>. The CPC issued a recommendation related to major infrastructure projects</w:t>
      </w:r>
      <w:r w:rsidRPr="5050C6D7">
        <w:rPr>
          <w:rStyle w:val="FootnoteReference"/>
          <w:noProof/>
          <w:lang w:eastAsia="fr-FR"/>
        </w:rPr>
        <w:footnoteReference w:id="94"/>
      </w:r>
      <w:r w:rsidRPr="5050C6D7">
        <w:rPr>
          <w:noProof/>
          <w:lang w:eastAsia="fr-FR"/>
        </w:rPr>
        <w:t>, calling for the adoption of a framework law that would regulate the entire process from planning to monitoring implementation and would include corruption preventive measures at various stages</w:t>
      </w:r>
      <w:r w:rsidRPr="5050C6D7">
        <w:rPr>
          <w:rStyle w:val="FootnoteReference"/>
          <w:noProof/>
          <w:lang w:eastAsia="fr-FR"/>
        </w:rPr>
        <w:footnoteReference w:id="95"/>
      </w:r>
      <w:r w:rsidRPr="5050C6D7">
        <w:rPr>
          <w:noProof/>
          <w:lang w:eastAsia="fr-FR"/>
        </w:rPr>
        <w:t xml:space="preserve">. A follow-up to this recommendation is still pending.  </w:t>
      </w:r>
    </w:p>
    <w:p w14:paraId="0697E976" w14:textId="77777777" w:rsidR="001D33E1" w:rsidRPr="00053759" w:rsidRDefault="001D33E1" w:rsidP="00045904">
      <w:pPr>
        <w:pStyle w:val="Heading1"/>
        <w:numPr>
          <w:ilvl w:val="0"/>
          <w:numId w:val="40"/>
        </w:numPr>
        <w:spacing w:before="0"/>
        <w:rPr>
          <w:noProof/>
          <w:u w:val="single"/>
        </w:rPr>
      </w:pPr>
      <w:r w:rsidRPr="00053759">
        <w:rPr>
          <w:noProof/>
          <w:u w:val="single"/>
        </w:rPr>
        <w:t xml:space="preserve">Media Pluralism and Media Freedom </w:t>
      </w:r>
    </w:p>
    <w:p w14:paraId="0CE416B5" w14:textId="5DEAE575" w:rsidR="001D33E1" w:rsidRPr="00230D53" w:rsidRDefault="001D33E1" w:rsidP="001D33E1">
      <w:pPr>
        <w:rPr>
          <w:noProof/>
        </w:rPr>
      </w:pPr>
      <w:r w:rsidRPr="00230D53">
        <w:rPr>
          <w:b/>
          <w:noProof/>
        </w:rPr>
        <w:t xml:space="preserve">The media regulator generally remains independent, while </w:t>
      </w:r>
      <w:r>
        <w:rPr>
          <w:b/>
          <w:noProof/>
        </w:rPr>
        <w:t xml:space="preserve">some </w:t>
      </w:r>
      <w:r w:rsidRPr="00230D53">
        <w:rPr>
          <w:b/>
          <w:noProof/>
        </w:rPr>
        <w:t xml:space="preserve">concerns </w:t>
      </w:r>
      <w:r w:rsidRPr="00230D53">
        <w:rPr>
          <w:b/>
          <w:bCs/>
          <w:noProof/>
        </w:rPr>
        <w:t xml:space="preserve">persist </w:t>
      </w:r>
      <w:r w:rsidRPr="00230D53">
        <w:rPr>
          <w:b/>
          <w:noProof/>
        </w:rPr>
        <w:t>regarding its human and financial resources</w:t>
      </w:r>
      <w:r w:rsidRPr="00230D53">
        <w:rPr>
          <w:noProof/>
        </w:rPr>
        <w:t>. The media regulator (Agency for Communication Networks and Services, AKOS</w:t>
      </w:r>
      <w:r>
        <w:rPr>
          <w:rStyle w:val="FootnoteReference"/>
          <w:noProof/>
        </w:rPr>
        <w:footnoteReference w:id="96"/>
      </w:r>
      <w:r w:rsidRPr="00230D53">
        <w:rPr>
          <w:noProof/>
        </w:rPr>
        <w:t>) continues to be generally functionally and operationally independent in its role of overseeing the media market, although certain challenges persist</w:t>
      </w:r>
      <w:r>
        <w:rPr>
          <w:noProof/>
        </w:rPr>
        <w:t xml:space="preserve"> </w:t>
      </w:r>
      <w:r w:rsidRPr="00230D53">
        <w:rPr>
          <w:noProof/>
        </w:rPr>
        <w:t>that might increase its vulnerability to political influence</w:t>
      </w:r>
      <w:r>
        <w:rPr>
          <w:noProof/>
        </w:rPr>
        <w:t xml:space="preserve"> on programming work and financial management</w:t>
      </w:r>
      <w:r>
        <w:rPr>
          <w:rStyle w:val="FootnoteReference"/>
          <w:noProof/>
        </w:rPr>
        <w:footnoteReference w:id="97"/>
      </w:r>
      <w:r w:rsidRPr="00230D53">
        <w:rPr>
          <w:noProof/>
        </w:rPr>
        <w:t xml:space="preserve">. </w:t>
      </w:r>
      <w:r>
        <w:rPr>
          <w:noProof/>
        </w:rPr>
        <w:t>As in 2025, the Media Pluralism Monitor 2026 (MPM) notes medium-low risk for the indicators regarding the independence and effectiveness of the media regulatory authorities, while highlighting ongoing concerns about the Government’s role in appointing its leadership</w:t>
      </w:r>
      <w:r>
        <w:rPr>
          <w:rStyle w:val="FootnoteReference"/>
          <w:noProof/>
        </w:rPr>
        <w:footnoteReference w:id="98"/>
      </w:r>
      <w:r>
        <w:rPr>
          <w:noProof/>
        </w:rPr>
        <w:t>. Some stakeholders flagged the concerns regarding the appointment procedures allowing for some level of continued governmental influence</w:t>
      </w:r>
      <w:r>
        <w:rPr>
          <w:rStyle w:val="FootnoteReference"/>
          <w:noProof/>
        </w:rPr>
        <w:footnoteReference w:id="99"/>
      </w:r>
      <w:r>
        <w:rPr>
          <w:noProof/>
        </w:rPr>
        <w:t xml:space="preserve">. Regarding the financial resources, </w:t>
      </w:r>
      <w:r w:rsidRPr="00230D53">
        <w:rPr>
          <w:noProof/>
        </w:rPr>
        <w:t xml:space="preserve">AKOS funding remained separate from the </w:t>
      </w:r>
      <w:r>
        <w:rPr>
          <w:noProof/>
        </w:rPr>
        <w:t>s</w:t>
      </w:r>
      <w:r w:rsidRPr="00230D53">
        <w:rPr>
          <w:noProof/>
        </w:rPr>
        <w:t>tate budget, relying instead on a self-financing system based on contributions from the undertakings under its regulatory remit. However, as in previous years, stakeholders reported that AKOS, considering the large scope of assigned tasks, has limited human and financial resources, which may affect its effectiveness</w:t>
      </w:r>
      <w:r w:rsidRPr="00230D53">
        <w:rPr>
          <w:rStyle w:val="FootnoteReference"/>
          <w:noProof/>
        </w:rPr>
        <w:footnoteReference w:id="100"/>
      </w:r>
      <w:r w:rsidR="000C5C1E">
        <w:rPr>
          <w:noProof/>
        </w:rPr>
        <w:t>.</w:t>
      </w:r>
      <w:r w:rsidRPr="00230D53">
        <w:rPr>
          <w:noProof/>
        </w:rPr>
        <w:t xml:space="preserve"> </w:t>
      </w:r>
    </w:p>
    <w:p w14:paraId="2547D221" w14:textId="567D12A3" w:rsidR="001D33E1" w:rsidRPr="00230D53" w:rsidRDefault="001D33E1" w:rsidP="001D33E1">
      <w:pPr>
        <w:rPr>
          <w:noProof/>
        </w:rPr>
      </w:pPr>
      <w:r>
        <w:rPr>
          <w:b/>
          <w:bCs/>
          <w:noProof/>
        </w:rPr>
        <w:t>E</w:t>
      </w:r>
      <w:r w:rsidRPr="00230D53">
        <w:rPr>
          <w:b/>
          <w:bCs/>
          <w:noProof/>
        </w:rPr>
        <w:t>fforts</w:t>
      </w:r>
      <w:r w:rsidRPr="00230D53">
        <w:rPr>
          <w:b/>
          <w:noProof/>
        </w:rPr>
        <w:t xml:space="preserve"> to </w:t>
      </w:r>
      <w:r>
        <w:rPr>
          <w:b/>
          <w:bCs/>
          <w:noProof/>
        </w:rPr>
        <w:t>improve</w:t>
      </w:r>
      <w:r w:rsidRPr="00230D53">
        <w:rPr>
          <w:b/>
          <w:bCs/>
          <w:noProof/>
        </w:rPr>
        <w:t xml:space="preserve"> </w:t>
      </w:r>
      <w:r w:rsidRPr="00230D53">
        <w:rPr>
          <w:b/>
          <w:noProof/>
        </w:rPr>
        <w:t xml:space="preserve">governance </w:t>
      </w:r>
      <w:r>
        <w:rPr>
          <w:b/>
          <w:bCs/>
          <w:noProof/>
        </w:rPr>
        <w:t>of</w:t>
      </w:r>
      <w:r w:rsidRPr="00230D53">
        <w:rPr>
          <w:b/>
          <w:bCs/>
          <w:noProof/>
        </w:rPr>
        <w:t xml:space="preserve"> </w:t>
      </w:r>
      <w:r w:rsidRPr="00230D53">
        <w:rPr>
          <w:b/>
          <w:noProof/>
        </w:rPr>
        <w:t xml:space="preserve">the public service media </w:t>
      </w:r>
      <w:r>
        <w:rPr>
          <w:b/>
          <w:bCs/>
          <w:noProof/>
        </w:rPr>
        <w:t>are ongoing</w:t>
      </w:r>
      <w:r w:rsidRPr="00230D53">
        <w:rPr>
          <w:b/>
          <w:bCs/>
          <w:noProof/>
        </w:rPr>
        <w:t>.</w:t>
      </w:r>
      <w:r w:rsidRPr="00230D53">
        <w:rPr>
          <w:noProof/>
        </w:rPr>
        <w:t xml:space="preserve"> </w:t>
      </w:r>
      <w:r>
        <w:rPr>
          <w:noProof/>
        </w:rPr>
        <w:t>The</w:t>
      </w:r>
      <w:r w:rsidRPr="00230D53">
        <w:rPr>
          <w:noProof/>
        </w:rPr>
        <w:t xml:space="preserve"> </w:t>
      </w:r>
      <w:r>
        <w:rPr>
          <w:noProof/>
        </w:rPr>
        <w:t>appointment procedure</w:t>
      </w:r>
      <w:r w:rsidRPr="00230D53" w:rsidDel="0047364B">
        <w:rPr>
          <w:noProof/>
        </w:rPr>
        <w:t xml:space="preserve"> </w:t>
      </w:r>
      <w:r>
        <w:rPr>
          <w:noProof/>
        </w:rPr>
        <w:t>established in 2022 for the management bodies of</w:t>
      </w:r>
      <w:r w:rsidRPr="00230D53">
        <w:rPr>
          <w:noProof/>
        </w:rPr>
        <w:t xml:space="preserve"> the public service media</w:t>
      </w:r>
      <w:r>
        <w:rPr>
          <w:noProof/>
        </w:rPr>
        <w:t>,</w:t>
      </w:r>
      <w:r w:rsidRPr="00230D53">
        <w:rPr>
          <w:noProof/>
        </w:rPr>
        <w:t xml:space="preserve"> comprising members that are not politically appointed</w:t>
      </w:r>
      <w:r>
        <w:rPr>
          <w:noProof/>
        </w:rPr>
        <w:t>,</w:t>
      </w:r>
      <w:r w:rsidRPr="00230D53">
        <w:rPr>
          <w:noProof/>
        </w:rPr>
        <w:t xml:space="preserve"> </w:t>
      </w:r>
      <w:r>
        <w:rPr>
          <w:noProof/>
        </w:rPr>
        <w:t>continues to be favourably received for the</w:t>
      </w:r>
      <w:r w:rsidRPr="00230D53">
        <w:rPr>
          <w:noProof/>
        </w:rPr>
        <w:t xml:space="preserve"> positive effect on the independence of RTV Slovenia, as also reported by a civil society organisation</w:t>
      </w:r>
      <w:r w:rsidRPr="00230D53">
        <w:rPr>
          <w:rStyle w:val="FootnoteReference"/>
          <w:noProof/>
        </w:rPr>
        <w:footnoteReference w:id="101"/>
      </w:r>
      <w:r w:rsidRPr="00230D53">
        <w:rPr>
          <w:noProof/>
        </w:rPr>
        <w:t>.</w:t>
      </w:r>
      <w:r w:rsidRPr="00230D53" w:rsidDel="002D1FBE">
        <w:rPr>
          <w:noProof/>
        </w:rPr>
        <w:t xml:space="preserve"> </w:t>
      </w:r>
      <w:r w:rsidRPr="002D1FBE">
        <w:rPr>
          <w:noProof/>
        </w:rPr>
        <w:t xml:space="preserve">In the assessment of the MPM, independence of public service media scored within the </w:t>
      </w:r>
      <w:r w:rsidRPr="001203C2">
        <w:rPr>
          <w:noProof/>
        </w:rPr>
        <w:t>medium-low</w:t>
      </w:r>
      <w:r w:rsidRPr="002D1FBE">
        <w:rPr>
          <w:noProof/>
        </w:rPr>
        <w:t xml:space="preserve"> risk band</w:t>
      </w:r>
      <w:r w:rsidRPr="00230D53">
        <w:rPr>
          <w:rStyle w:val="FootnoteReference"/>
          <w:noProof/>
        </w:rPr>
        <w:footnoteReference w:id="102"/>
      </w:r>
      <w:r>
        <w:rPr>
          <w:noProof/>
        </w:rPr>
        <w:t>, and p</w:t>
      </w:r>
      <w:r w:rsidRPr="001E23AF">
        <w:rPr>
          <w:noProof/>
        </w:rPr>
        <w:t xml:space="preserve">rogramme creators of RTV Slovenia </w:t>
      </w:r>
      <w:r>
        <w:rPr>
          <w:noProof/>
        </w:rPr>
        <w:t>continue to be generally assessed by stakeholders</w:t>
      </w:r>
      <w:r w:rsidRPr="001E23AF">
        <w:rPr>
          <w:noProof/>
        </w:rPr>
        <w:t xml:space="preserve"> </w:t>
      </w:r>
      <w:r>
        <w:rPr>
          <w:noProof/>
        </w:rPr>
        <w:t xml:space="preserve">as </w:t>
      </w:r>
      <w:r w:rsidRPr="001E23AF">
        <w:rPr>
          <w:noProof/>
        </w:rPr>
        <w:t>independent and autonomous in their professional work</w:t>
      </w:r>
      <w:r>
        <w:rPr>
          <w:rStyle w:val="FootnoteReference"/>
          <w:noProof/>
        </w:rPr>
        <w:footnoteReference w:id="103"/>
      </w:r>
      <w:r w:rsidRPr="000049B3">
        <w:rPr>
          <w:noProof/>
        </w:rPr>
        <w:t>.</w:t>
      </w:r>
      <w:r w:rsidRPr="00230D53">
        <w:rPr>
          <w:noProof/>
        </w:rPr>
        <w:t xml:space="preserve"> </w:t>
      </w:r>
      <w:r w:rsidRPr="000049B3">
        <w:rPr>
          <w:noProof/>
        </w:rPr>
        <w:t>Despite</w:t>
      </w:r>
      <w:r w:rsidRPr="00230D53">
        <w:rPr>
          <w:noProof/>
        </w:rPr>
        <w:t xml:space="preserve"> positive developments in public service media noted in the 2025 Report</w:t>
      </w:r>
      <w:r w:rsidRPr="00230D53">
        <w:rPr>
          <w:rStyle w:val="FootnoteReference"/>
          <w:noProof/>
        </w:rPr>
        <w:footnoteReference w:id="104"/>
      </w:r>
      <w:r w:rsidRPr="00230D53">
        <w:rPr>
          <w:noProof/>
        </w:rPr>
        <w:t xml:space="preserve">, stakeholders continue to report challenges </w:t>
      </w:r>
      <w:r>
        <w:rPr>
          <w:noProof/>
        </w:rPr>
        <w:t xml:space="preserve">in </w:t>
      </w:r>
      <w:r w:rsidRPr="00230D53">
        <w:rPr>
          <w:noProof/>
        </w:rPr>
        <w:t>implementing the new governance framework</w:t>
      </w:r>
      <w:r>
        <w:rPr>
          <w:noProof/>
        </w:rPr>
        <w:t>, referring to</w:t>
      </w:r>
      <w:r w:rsidRPr="00230D53">
        <w:rPr>
          <w:noProof/>
        </w:rPr>
        <w:t xml:space="preserve"> partially overlapping </w:t>
      </w:r>
      <w:r>
        <w:rPr>
          <w:noProof/>
        </w:rPr>
        <w:t>responsibilities</w:t>
      </w:r>
      <w:r w:rsidRPr="00230D53">
        <w:rPr>
          <w:noProof/>
        </w:rPr>
        <w:t xml:space="preserve"> </w:t>
      </w:r>
      <w:r>
        <w:rPr>
          <w:noProof/>
        </w:rPr>
        <w:t xml:space="preserve">and their perception of a lack of clarity in the </w:t>
      </w:r>
      <w:r w:rsidRPr="00230D53">
        <w:rPr>
          <w:noProof/>
        </w:rPr>
        <w:t xml:space="preserve">allocation of </w:t>
      </w:r>
      <w:r>
        <w:rPr>
          <w:noProof/>
        </w:rPr>
        <w:t>competences</w:t>
      </w:r>
      <w:r w:rsidRPr="00230D53">
        <w:rPr>
          <w:noProof/>
        </w:rPr>
        <w:t xml:space="preserve"> between the RTV Council and the Management Board, particularly in areas such as interpreting statutory obligations, funding, and strategic decisions</w:t>
      </w:r>
      <w:r w:rsidRPr="00230D53">
        <w:rPr>
          <w:rStyle w:val="FootnoteReference"/>
          <w:noProof/>
        </w:rPr>
        <w:footnoteReference w:id="105"/>
      </w:r>
      <w:r w:rsidRPr="00230D53">
        <w:rPr>
          <w:noProof/>
        </w:rPr>
        <w:t>.</w:t>
      </w:r>
      <w:r w:rsidRPr="00230D53" w:rsidDel="00E02145">
        <w:rPr>
          <w:noProof/>
        </w:rPr>
        <w:t xml:space="preserve"> </w:t>
      </w:r>
      <w:r w:rsidRPr="00230D53">
        <w:rPr>
          <w:noProof/>
        </w:rPr>
        <w:t xml:space="preserve">In December 2025, </w:t>
      </w:r>
      <w:r>
        <w:rPr>
          <w:noProof/>
        </w:rPr>
        <w:t xml:space="preserve">the </w:t>
      </w:r>
      <w:r w:rsidR="00BE2814">
        <w:rPr>
          <w:noProof/>
        </w:rPr>
        <w:t xml:space="preserve">former </w:t>
      </w:r>
      <w:r>
        <w:rPr>
          <w:noProof/>
        </w:rPr>
        <w:t>Parliament</w:t>
      </w:r>
      <w:r w:rsidRPr="00230D53" w:rsidDel="00E804F1">
        <w:rPr>
          <w:noProof/>
        </w:rPr>
        <w:t xml:space="preserve"> </w:t>
      </w:r>
      <w:r w:rsidRPr="00230D53">
        <w:rPr>
          <w:noProof/>
        </w:rPr>
        <w:t>adopted amendments to the RTV Act, including a delineation of competences within the management and between the management and the RTV Council, and to better distinguish the management from supervisory responsibilities</w:t>
      </w:r>
      <w:r w:rsidRPr="00230D53">
        <w:rPr>
          <w:rStyle w:val="FootnoteReference"/>
          <w:noProof/>
        </w:rPr>
        <w:footnoteReference w:id="106"/>
      </w:r>
      <w:r w:rsidRPr="000049B3">
        <w:rPr>
          <w:noProof/>
        </w:rPr>
        <w:t xml:space="preserve">. </w:t>
      </w:r>
    </w:p>
    <w:p w14:paraId="4F55148E" w14:textId="519FAF14" w:rsidR="001D33E1" w:rsidRPr="00230D53" w:rsidRDefault="00BE2814" w:rsidP="001D33E1">
      <w:pPr>
        <w:rPr>
          <w:noProof/>
        </w:rPr>
      </w:pPr>
      <w:r>
        <w:rPr>
          <w:b/>
          <w:noProof/>
        </w:rPr>
        <w:t xml:space="preserve">Former </w:t>
      </w:r>
      <w:r w:rsidR="001D33E1" w:rsidRPr="00610570">
        <w:rPr>
          <w:b/>
          <w:noProof/>
        </w:rPr>
        <w:t>Parliament adopted amendments aimed to improve the</w:t>
      </w:r>
      <w:r w:rsidR="001D33E1">
        <w:rPr>
          <w:b/>
          <w:noProof/>
        </w:rPr>
        <w:t xml:space="preserve"> sustainability of</w:t>
      </w:r>
      <w:r w:rsidR="001D33E1" w:rsidRPr="00610570">
        <w:rPr>
          <w:b/>
          <w:noProof/>
        </w:rPr>
        <w:t xml:space="preserve"> funding for public service media, while certain challenges </w:t>
      </w:r>
      <w:r w:rsidR="001D33E1">
        <w:rPr>
          <w:b/>
          <w:noProof/>
        </w:rPr>
        <w:t>remain</w:t>
      </w:r>
      <w:r w:rsidR="001D33E1" w:rsidRPr="00230D53">
        <w:rPr>
          <w:rStyle w:val="FootnoteReference"/>
          <w:b/>
          <w:noProof/>
        </w:rPr>
        <w:footnoteReference w:id="107"/>
      </w:r>
      <w:r w:rsidR="001D33E1" w:rsidRPr="00230D53">
        <w:rPr>
          <w:b/>
          <w:bCs/>
          <w:noProof/>
        </w:rPr>
        <w:t>.</w:t>
      </w:r>
      <w:r w:rsidR="001D33E1" w:rsidRPr="00230D53">
        <w:rPr>
          <w:noProof/>
        </w:rPr>
        <w:t xml:space="preserve"> The </w:t>
      </w:r>
      <w:r w:rsidR="00206E4C">
        <w:rPr>
          <w:noProof/>
        </w:rPr>
        <w:t xml:space="preserve">former </w:t>
      </w:r>
      <w:r w:rsidR="001D33E1" w:rsidRPr="00230D53">
        <w:rPr>
          <w:noProof/>
        </w:rPr>
        <w:t xml:space="preserve">Government adopted new provisions regarding the funding for public service media, both </w:t>
      </w:r>
      <w:r w:rsidR="001D33E1">
        <w:rPr>
          <w:noProof/>
        </w:rPr>
        <w:t xml:space="preserve">for </w:t>
      </w:r>
      <w:r w:rsidR="001D33E1" w:rsidRPr="00230D53">
        <w:rPr>
          <w:noProof/>
        </w:rPr>
        <w:t xml:space="preserve">the public broadcaster (RTV) and </w:t>
      </w:r>
      <w:r w:rsidR="001D33E1">
        <w:rPr>
          <w:noProof/>
        </w:rPr>
        <w:t xml:space="preserve">the </w:t>
      </w:r>
      <w:r w:rsidR="001D33E1" w:rsidRPr="00230D53">
        <w:rPr>
          <w:noProof/>
        </w:rPr>
        <w:t>Slovenian Press Agency (STA</w:t>
      </w:r>
      <w:r w:rsidR="001D33E1" w:rsidRPr="002475CA">
        <w:rPr>
          <w:noProof/>
        </w:rPr>
        <w:t>)</w:t>
      </w:r>
      <w:r w:rsidR="001D33E1" w:rsidRPr="00230D53">
        <w:rPr>
          <w:noProof/>
        </w:rPr>
        <w:t xml:space="preserve">. In December 2025, </w:t>
      </w:r>
      <w:r w:rsidR="001D33E1">
        <w:rPr>
          <w:noProof/>
        </w:rPr>
        <w:t xml:space="preserve">the </w:t>
      </w:r>
      <w:r>
        <w:rPr>
          <w:noProof/>
        </w:rPr>
        <w:t xml:space="preserve">former </w:t>
      </w:r>
      <w:r w:rsidR="001D33E1" w:rsidRPr="00230D53" w:rsidDel="00C4232B">
        <w:rPr>
          <w:noProof/>
        </w:rPr>
        <w:t xml:space="preserve">Parliament </w:t>
      </w:r>
      <w:r w:rsidR="001D33E1" w:rsidRPr="00230D53">
        <w:rPr>
          <w:noProof/>
        </w:rPr>
        <w:t>adopted amendments to the RTV Act</w:t>
      </w:r>
      <w:r w:rsidR="001D33E1" w:rsidRPr="00230D53" w:rsidDel="00850E50">
        <w:rPr>
          <w:noProof/>
        </w:rPr>
        <w:t xml:space="preserve"> </w:t>
      </w:r>
      <w:r w:rsidR="001D33E1" w:rsidRPr="00230D53">
        <w:rPr>
          <w:noProof/>
        </w:rPr>
        <w:t>with the aim of improving the financial sustainability of RTV</w:t>
      </w:r>
      <w:r w:rsidR="001D33E1" w:rsidRPr="00230D53">
        <w:rPr>
          <w:rStyle w:val="FootnoteReference"/>
          <w:noProof/>
        </w:rPr>
        <w:footnoteReference w:id="108"/>
      </w:r>
      <w:r w:rsidR="001D33E1" w:rsidRPr="00230D53">
        <w:rPr>
          <w:i/>
          <w:iCs/>
          <w:noProof/>
        </w:rPr>
        <w:t>.</w:t>
      </w:r>
      <w:r w:rsidR="001D33E1" w:rsidRPr="00230D53">
        <w:rPr>
          <w:i/>
          <w:noProof/>
        </w:rPr>
        <w:t xml:space="preserve"> </w:t>
      </w:r>
      <w:r w:rsidR="001D33E1" w:rsidRPr="00230D53">
        <w:rPr>
          <w:noProof/>
        </w:rPr>
        <w:t xml:space="preserve">The amendments, among others, define the competences of the </w:t>
      </w:r>
      <w:r w:rsidR="001D33E1">
        <w:rPr>
          <w:noProof/>
        </w:rPr>
        <w:t xml:space="preserve">RTV </w:t>
      </w:r>
      <w:r w:rsidR="001D33E1" w:rsidRPr="00230D53">
        <w:rPr>
          <w:noProof/>
        </w:rPr>
        <w:t>Financial Board to ensure effective control of operations, aim to introduce greater transparency and verifiability of expenditures from the RTV licence fee, and provide for the funding of minority programming and musical production</w:t>
      </w:r>
      <w:r w:rsidR="001D33E1" w:rsidRPr="00230D53">
        <w:rPr>
          <w:rStyle w:val="FootnoteReference"/>
          <w:noProof/>
        </w:rPr>
        <w:footnoteReference w:id="109"/>
      </w:r>
      <w:r w:rsidR="001D33E1" w:rsidRPr="00230D53">
        <w:rPr>
          <w:noProof/>
        </w:rPr>
        <w:t>. Stakeholders noted that the amendments only specify budgetary support for selected programmes, addressing relatively short-term funding gaps</w:t>
      </w:r>
      <w:r w:rsidR="001D33E1" w:rsidRPr="00230D53">
        <w:rPr>
          <w:rStyle w:val="FootnoteReference"/>
          <w:noProof/>
        </w:rPr>
        <w:footnoteReference w:id="110"/>
      </w:r>
      <w:r w:rsidR="001D33E1" w:rsidRPr="00230D53">
        <w:rPr>
          <w:noProof/>
        </w:rPr>
        <w:t xml:space="preserve">. Despite planned restructuring to improve the efficiency of available funds, RTV considered that the </w:t>
      </w:r>
      <w:r w:rsidR="001D33E1">
        <w:rPr>
          <w:noProof/>
        </w:rPr>
        <w:t>envisaged</w:t>
      </w:r>
      <w:r w:rsidR="001D33E1" w:rsidRPr="00230D53">
        <w:rPr>
          <w:noProof/>
        </w:rPr>
        <w:t xml:space="preserve"> increase in funding will not be sufficient to ensure </w:t>
      </w:r>
      <w:r w:rsidR="001D33E1">
        <w:rPr>
          <w:noProof/>
        </w:rPr>
        <w:t xml:space="preserve">its </w:t>
      </w:r>
      <w:r w:rsidR="001D33E1" w:rsidRPr="00230D53">
        <w:rPr>
          <w:noProof/>
        </w:rPr>
        <w:t>long-term goals</w:t>
      </w:r>
      <w:r w:rsidR="001D33E1" w:rsidRPr="00230D53">
        <w:rPr>
          <w:rStyle w:val="FootnoteReference"/>
          <w:noProof/>
        </w:rPr>
        <w:footnoteReference w:id="111"/>
      </w:r>
      <w:r w:rsidR="001D33E1" w:rsidRPr="00230D53">
        <w:rPr>
          <w:noProof/>
        </w:rPr>
        <w:t>. The main funding pillar of public service media continues to be a mandatory license fee, with an amount set by the Government, which was not changed by the adopted amendments</w:t>
      </w:r>
      <w:r w:rsidR="001D33E1" w:rsidRPr="00230D53">
        <w:rPr>
          <w:rStyle w:val="FootnoteReference"/>
          <w:noProof/>
        </w:rPr>
        <w:footnoteReference w:id="112"/>
      </w:r>
      <w:r w:rsidR="001D33E1" w:rsidRPr="00230D53">
        <w:rPr>
          <w:noProof/>
        </w:rPr>
        <w:t>. In particular, the license fee for RTV Slovenia continues to depend on governmental decisions and is not automatically indexed to inflation, limiting long-term financial predictability</w:t>
      </w:r>
      <w:r w:rsidR="001D33E1" w:rsidRPr="00230D53">
        <w:rPr>
          <w:rStyle w:val="FootnoteReference"/>
          <w:noProof/>
        </w:rPr>
        <w:footnoteReference w:id="113"/>
      </w:r>
      <w:r w:rsidR="001D33E1" w:rsidRPr="00230D53">
        <w:rPr>
          <w:noProof/>
        </w:rPr>
        <w:t xml:space="preserve">. </w:t>
      </w:r>
      <w:r w:rsidR="001D33E1">
        <w:rPr>
          <w:noProof/>
        </w:rPr>
        <w:t>Some stakeholders expressed concerns about the funding model, as they consider it a potential risk for the independence of public service media</w:t>
      </w:r>
      <w:r w:rsidR="001D33E1">
        <w:rPr>
          <w:rStyle w:val="FootnoteReference"/>
          <w:noProof/>
        </w:rPr>
        <w:footnoteReference w:id="114"/>
      </w:r>
      <w:r w:rsidR="001D33E1">
        <w:rPr>
          <w:noProof/>
        </w:rPr>
        <w:t>.</w:t>
      </w:r>
      <w:r w:rsidR="001D33E1" w:rsidRPr="00230D53">
        <w:rPr>
          <w:noProof/>
        </w:rPr>
        <w:t xml:space="preserve"> </w:t>
      </w:r>
      <w:r w:rsidR="001D33E1" w:rsidRPr="00230D53" w:rsidDel="00183196">
        <w:rPr>
          <w:noProof/>
        </w:rPr>
        <w:t xml:space="preserve">In February 2026, </w:t>
      </w:r>
      <w:r w:rsidR="004320D1">
        <w:rPr>
          <w:noProof/>
        </w:rPr>
        <w:t xml:space="preserve">the former </w:t>
      </w:r>
      <w:r w:rsidR="001D33E1" w:rsidRPr="00230D53" w:rsidDel="00183196">
        <w:rPr>
          <w:noProof/>
        </w:rPr>
        <w:t>Parliament adopted a new Act which regulates the status, activities, organisation, and financing of the Slovenian Press Agency (STA), as well as the oversight of its operations</w:t>
      </w:r>
      <w:r w:rsidR="001D33E1" w:rsidRPr="00230D53" w:rsidDel="00183196">
        <w:rPr>
          <w:rStyle w:val="FootnoteReference"/>
          <w:noProof/>
        </w:rPr>
        <w:footnoteReference w:id="115"/>
      </w:r>
      <w:r w:rsidR="001D33E1" w:rsidRPr="00230D53" w:rsidDel="00183196">
        <w:rPr>
          <w:noProof/>
        </w:rPr>
        <w:t xml:space="preserve">. Among others, </w:t>
      </w:r>
      <w:r w:rsidR="001D33E1" w:rsidDel="00183196">
        <w:rPr>
          <w:noProof/>
        </w:rPr>
        <w:t>it</w:t>
      </w:r>
      <w:r w:rsidR="001D33E1" w:rsidRPr="00230D53" w:rsidDel="00183196">
        <w:rPr>
          <w:noProof/>
        </w:rPr>
        <w:t xml:space="preserve"> clarifies the public service remit</w:t>
      </w:r>
      <w:r w:rsidR="001D33E1" w:rsidDel="00183196">
        <w:rPr>
          <w:noProof/>
        </w:rPr>
        <w:t>, which are financed from the state budget</w:t>
      </w:r>
      <w:r w:rsidR="001D33E1" w:rsidRPr="00230D53" w:rsidDel="00183196">
        <w:rPr>
          <w:rStyle w:val="FootnoteReference"/>
          <w:noProof/>
        </w:rPr>
        <w:footnoteReference w:id="116"/>
      </w:r>
      <w:r w:rsidR="001D33E1" w:rsidDel="00183196">
        <w:rPr>
          <w:noProof/>
        </w:rPr>
        <w:t>,</w:t>
      </w:r>
      <w:r w:rsidR="001D33E1" w:rsidRPr="00230D53" w:rsidDel="00183196">
        <w:rPr>
          <w:noProof/>
        </w:rPr>
        <w:t xml:space="preserve"> and introduces a more structured net-cost financing model. </w:t>
      </w:r>
      <w:r w:rsidR="001D33E1" w:rsidRPr="00230D53" w:rsidDel="00AA3492">
        <w:rPr>
          <w:noProof/>
        </w:rPr>
        <w:t>Civil society organisation assessed the reform as improving long-term funding, ensuring more consistent implementation and stable future appropriations of STA</w:t>
      </w:r>
      <w:r w:rsidR="001D33E1" w:rsidRPr="00230D53" w:rsidDel="00AA3492">
        <w:rPr>
          <w:rStyle w:val="FootnoteReference"/>
          <w:noProof/>
        </w:rPr>
        <w:footnoteReference w:id="117"/>
      </w:r>
      <w:r w:rsidR="001D33E1" w:rsidRPr="00230D53" w:rsidDel="00AA3492">
        <w:rPr>
          <w:noProof/>
        </w:rPr>
        <w:t xml:space="preserve">. </w:t>
      </w:r>
      <w:r w:rsidR="001D33E1">
        <w:rPr>
          <w:noProof/>
        </w:rPr>
        <w:t xml:space="preserve">Considering that the financial challenges of the STA have been addressed, while those of the RTV improved to a limited extent, </w:t>
      </w:r>
      <w:r w:rsidR="001D33E1" w:rsidRPr="00230D53">
        <w:rPr>
          <w:noProof/>
        </w:rPr>
        <w:t xml:space="preserve">there was </w:t>
      </w:r>
      <w:r w:rsidR="001D33E1">
        <w:rPr>
          <w:noProof/>
        </w:rPr>
        <w:t>limited further</w:t>
      </w:r>
      <w:r w:rsidR="001D33E1" w:rsidRPr="00230D53">
        <w:rPr>
          <w:noProof/>
        </w:rPr>
        <w:t xml:space="preserve"> progress on the recommendation.</w:t>
      </w:r>
    </w:p>
    <w:p w14:paraId="0E0259E4" w14:textId="5788485D" w:rsidR="001D33E1" w:rsidRPr="00230D53" w:rsidRDefault="001D33E1" w:rsidP="001D33E1">
      <w:pPr>
        <w:spacing w:after="160"/>
        <w:rPr>
          <w:noProof/>
        </w:rPr>
      </w:pPr>
      <w:r>
        <w:rPr>
          <w:b/>
          <w:bCs/>
          <w:noProof/>
        </w:rPr>
        <w:t>While t</w:t>
      </w:r>
      <w:r w:rsidRPr="00230D53">
        <w:rPr>
          <w:b/>
          <w:bCs/>
          <w:noProof/>
        </w:rPr>
        <w:t xml:space="preserve">he </w:t>
      </w:r>
      <w:r w:rsidRPr="00230D53">
        <w:rPr>
          <w:b/>
          <w:noProof/>
        </w:rPr>
        <w:t>media market remains concentrated</w:t>
      </w:r>
      <w:r>
        <w:rPr>
          <w:b/>
          <w:bCs/>
          <w:noProof/>
        </w:rPr>
        <w:t>,</w:t>
      </w:r>
      <w:r w:rsidRPr="00230D53">
        <w:rPr>
          <w:b/>
          <w:noProof/>
        </w:rPr>
        <w:t xml:space="preserve"> </w:t>
      </w:r>
      <w:r>
        <w:rPr>
          <w:b/>
          <w:bCs/>
          <w:noProof/>
        </w:rPr>
        <w:t>reforms were introduced to improve its transparency and functioning</w:t>
      </w:r>
      <w:r w:rsidRPr="00230D53">
        <w:rPr>
          <w:noProof/>
        </w:rPr>
        <w:t xml:space="preserve">. </w:t>
      </w:r>
      <w:r w:rsidRPr="00D22F2C">
        <w:rPr>
          <w:noProof/>
        </w:rPr>
        <w:t>The Slovenian media market is relatively small and financially constrained, which makes it particularly sensitive to concentration trends</w:t>
      </w:r>
      <w:r>
        <w:rPr>
          <w:rStyle w:val="FootnoteReference"/>
          <w:noProof/>
        </w:rPr>
        <w:footnoteReference w:id="118"/>
      </w:r>
      <w:r w:rsidRPr="00D22F2C">
        <w:rPr>
          <w:noProof/>
        </w:rPr>
        <w:t>.</w:t>
      </w:r>
      <w:r>
        <w:rPr>
          <w:noProof/>
        </w:rPr>
        <w:t xml:space="preserve"> </w:t>
      </w:r>
      <w:r w:rsidRPr="00B30129">
        <w:rPr>
          <w:noProof/>
        </w:rPr>
        <w:t>The MPM notes very high</w:t>
      </w:r>
      <w:r>
        <w:rPr>
          <w:noProof/>
        </w:rPr>
        <w:t>-</w:t>
      </w:r>
      <w:r w:rsidRPr="00B30129">
        <w:rPr>
          <w:noProof/>
        </w:rPr>
        <w:t>risk bands for the plurality of media providers, as well as high risk for media viability and editorial independence from commercial and owner influence</w:t>
      </w:r>
      <w:r>
        <w:rPr>
          <w:noProof/>
        </w:rPr>
        <w:t>.</w:t>
      </w:r>
      <w:r>
        <w:rPr>
          <w:rStyle w:val="FootnoteReference"/>
          <w:noProof/>
        </w:rPr>
        <w:footnoteReference w:id="119"/>
      </w:r>
      <w:r>
        <w:rPr>
          <w:noProof/>
        </w:rPr>
        <w:t xml:space="preserve"> However, t</w:t>
      </w:r>
      <w:r w:rsidRPr="00230D53">
        <w:rPr>
          <w:noProof/>
        </w:rPr>
        <w:t>he new Media Act</w:t>
      </w:r>
      <w:r w:rsidR="00553BA7">
        <w:rPr>
          <w:rStyle w:val="FootnoteReference"/>
          <w:noProof/>
        </w:rPr>
        <w:footnoteReference w:id="120"/>
      </w:r>
      <w:r>
        <w:rPr>
          <w:noProof/>
        </w:rPr>
        <w:t xml:space="preserve">, which was adopted </w:t>
      </w:r>
      <w:r w:rsidRPr="005949B7">
        <w:rPr>
          <w:noProof/>
        </w:rPr>
        <w:t xml:space="preserve">with a view to alignment with </w:t>
      </w:r>
      <w:r>
        <w:rPr>
          <w:noProof/>
        </w:rPr>
        <w:t xml:space="preserve">the </w:t>
      </w:r>
      <w:r w:rsidDel="00C70B6A">
        <w:rPr>
          <w:noProof/>
        </w:rPr>
        <w:t>European Media Freedom Act (</w:t>
      </w:r>
      <w:r w:rsidRPr="00515461">
        <w:rPr>
          <w:noProof/>
        </w:rPr>
        <w:t>EMFA</w:t>
      </w:r>
      <w:r w:rsidDel="00C70B6A">
        <w:rPr>
          <w:noProof/>
        </w:rPr>
        <w:t>)</w:t>
      </w:r>
      <w:r>
        <w:rPr>
          <w:noProof/>
        </w:rPr>
        <w:t>,</w:t>
      </w:r>
      <w:r w:rsidRPr="00230D53">
        <w:rPr>
          <w:noProof/>
        </w:rPr>
        <w:t xml:space="preserve"> introduced media market concentration assessments</w:t>
      </w:r>
      <w:r>
        <w:rPr>
          <w:noProof/>
        </w:rPr>
        <w:t xml:space="preserve">, focusing on its </w:t>
      </w:r>
      <w:r w:rsidRPr="00230D53">
        <w:rPr>
          <w:noProof/>
        </w:rPr>
        <w:t>impact on media pluralism and editorial independence</w:t>
      </w:r>
      <w:r w:rsidRPr="00230D53">
        <w:rPr>
          <w:rStyle w:val="FootnoteReference"/>
          <w:noProof/>
        </w:rPr>
        <w:footnoteReference w:id="121"/>
      </w:r>
      <w:r>
        <w:rPr>
          <w:noProof/>
        </w:rPr>
        <w:t xml:space="preserve"> and</w:t>
      </w:r>
      <w:r w:rsidRPr="00230D53">
        <w:rPr>
          <w:noProof/>
        </w:rPr>
        <w:t xml:space="preserve"> some practical improvements regarding the procedures for granting broadcasting licenses</w:t>
      </w:r>
      <w:r w:rsidRPr="00230D53">
        <w:rPr>
          <w:rStyle w:val="FootnoteReference"/>
          <w:noProof/>
        </w:rPr>
        <w:footnoteReference w:id="122"/>
      </w:r>
      <w:r w:rsidRPr="00230D53">
        <w:rPr>
          <w:noProof/>
        </w:rPr>
        <w:t>. During the parliamentary procedure</w:t>
      </w:r>
      <w:r>
        <w:rPr>
          <w:noProof/>
        </w:rPr>
        <w:t>,</w:t>
      </w:r>
      <w:r w:rsidRPr="00230D53" w:rsidDel="00BB747A">
        <w:rPr>
          <w:noProof/>
        </w:rPr>
        <w:t xml:space="preserve"> </w:t>
      </w:r>
      <w:r w:rsidRPr="00230D53">
        <w:rPr>
          <w:noProof/>
        </w:rPr>
        <w:t xml:space="preserve">civil society organisations raised concerns about reassigning media market oversight to the Competition Protection Agency (AVK), highlighting the lack of </w:t>
      </w:r>
      <w:r>
        <w:rPr>
          <w:noProof/>
        </w:rPr>
        <w:t xml:space="preserve">formal involvement of the media regulator in the assessment procedure, </w:t>
      </w:r>
      <w:r w:rsidRPr="00230D53">
        <w:rPr>
          <w:noProof/>
        </w:rPr>
        <w:t xml:space="preserve">and the absence of </w:t>
      </w:r>
      <w:r>
        <w:rPr>
          <w:noProof/>
        </w:rPr>
        <w:t xml:space="preserve">a </w:t>
      </w:r>
      <w:r w:rsidRPr="00230D53">
        <w:rPr>
          <w:noProof/>
        </w:rPr>
        <w:t>public consultation on this matter</w:t>
      </w:r>
      <w:r w:rsidRPr="00230D53">
        <w:rPr>
          <w:rStyle w:val="FootnoteReference"/>
          <w:noProof/>
        </w:rPr>
        <w:footnoteReference w:id="123"/>
      </w:r>
      <w:r w:rsidRPr="00230D53">
        <w:rPr>
          <w:noProof/>
        </w:rPr>
        <w:t xml:space="preserve">. </w:t>
      </w:r>
      <w:r>
        <w:rPr>
          <w:noProof/>
        </w:rPr>
        <w:t>As regards transparency of ownership, t</w:t>
      </w:r>
      <w:r w:rsidRPr="00230D53">
        <w:rPr>
          <w:noProof/>
        </w:rPr>
        <w:t xml:space="preserve">he new Media Act </w:t>
      </w:r>
      <w:r>
        <w:rPr>
          <w:noProof/>
        </w:rPr>
        <w:t>provides</w:t>
      </w:r>
      <w:r w:rsidRPr="00230D53">
        <w:rPr>
          <w:noProof/>
        </w:rPr>
        <w:t xml:space="preserve"> for creating a new ownership database to disclose data on media ownership, including indirect ownership and beneficial owners. It also </w:t>
      </w:r>
      <w:r>
        <w:rPr>
          <w:noProof/>
        </w:rPr>
        <w:t xml:space="preserve">introduces procedures with the aim of enhancing the fair and transparent allocation of state advertising and </w:t>
      </w:r>
      <w:r w:rsidRPr="00230D53">
        <w:rPr>
          <w:noProof/>
        </w:rPr>
        <w:t xml:space="preserve">requires media service providers to publicly disclose information on </w:t>
      </w:r>
      <w:r>
        <w:rPr>
          <w:noProof/>
        </w:rPr>
        <w:t>s</w:t>
      </w:r>
      <w:r w:rsidRPr="00230D53">
        <w:rPr>
          <w:noProof/>
        </w:rPr>
        <w:t>tate advertising and other public funding received</w:t>
      </w:r>
      <w:r>
        <w:rPr>
          <w:rStyle w:val="FootnoteReference"/>
          <w:noProof/>
        </w:rPr>
        <w:footnoteReference w:id="124"/>
      </w:r>
      <w:r>
        <w:rPr>
          <w:noProof/>
        </w:rPr>
        <w:t>.</w:t>
      </w:r>
      <w:r w:rsidRPr="00230D53">
        <w:rPr>
          <w:noProof/>
        </w:rPr>
        <w:t xml:space="preserve"> The media regulator AKOS </w:t>
      </w:r>
      <w:r>
        <w:rPr>
          <w:noProof/>
        </w:rPr>
        <w:t>called for</w:t>
      </w:r>
      <w:r w:rsidRPr="00230D53" w:rsidDel="006C4639">
        <w:rPr>
          <w:noProof/>
        </w:rPr>
        <w:t xml:space="preserve"> </w:t>
      </w:r>
      <w:r w:rsidRPr="00230D53" w:rsidDel="00C308C5">
        <w:rPr>
          <w:noProof/>
        </w:rPr>
        <w:t xml:space="preserve">more clarity </w:t>
      </w:r>
      <w:r w:rsidRPr="00230D53">
        <w:rPr>
          <w:noProof/>
        </w:rPr>
        <w:t>on the</w:t>
      </w:r>
      <w:r>
        <w:rPr>
          <w:noProof/>
        </w:rPr>
        <w:t>ir</w:t>
      </w:r>
      <w:r w:rsidRPr="00230D53">
        <w:rPr>
          <w:noProof/>
        </w:rPr>
        <w:t xml:space="preserve"> role</w:t>
      </w:r>
      <w:r>
        <w:rPr>
          <w:noProof/>
        </w:rPr>
        <w:t xml:space="preserve"> regarding the assessment of media market concentration</w:t>
      </w:r>
      <w:r w:rsidRPr="00230D53">
        <w:rPr>
          <w:rStyle w:val="FootnoteReference"/>
          <w:noProof/>
        </w:rPr>
        <w:footnoteReference w:id="125"/>
      </w:r>
      <w:r w:rsidRPr="00230D53">
        <w:rPr>
          <w:noProof/>
        </w:rPr>
        <w:t xml:space="preserve">. </w:t>
      </w:r>
    </w:p>
    <w:p w14:paraId="0B3F2C30" w14:textId="77777777" w:rsidR="001D33E1" w:rsidRPr="00230D53" w:rsidRDefault="001D33E1" w:rsidP="001D33E1">
      <w:pPr>
        <w:rPr>
          <w:noProof/>
        </w:rPr>
      </w:pPr>
      <w:r w:rsidRPr="00230D53">
        <w:rPr>
          <w:b/>
          <w:bCs/>
          <w:noProof/>
        </w:rPr>
        <w:t xml:space="preserve">The framework for accessing </w:t>
      </w:r>
      <w:r>
        <w:rPr>
          <w:b/>
          <w:bCs/>
          <w:noProof/>
        </w:rPr>
        <w:t>official</w:t>
      </w:r>
      <w:r w:rsidRPr="00230D53">
        <w:rPr>
          <w:b/>
          <w:bCs/>
          <w:noProof/>
        </w:rPr>
        <w:t xml:space="preserve"> information remained favourable</w:t>
      </w:r>
      <w:r>
        <w:rPr>
          <w:b/>
          <w:bCs/>
          <w:noProof/>
        </w:rPr>
        <w:t>, but journalists report some obstacles in practice</w:t>
      </w:r>
      <w:r w:rsidRPr="00230D53">
        <w:rPr>
          <w:noProof/>
        </w:rPr>
        <w:t xml:space="preserve">. </w:t>
      </w:r>
      <w:r>
        <w:rPr>
          <w:noProof/>
        </w:rPr>
        <w:t>T</w:t>
      </w:r>
      <w:r w:rsidRPr="00230D53">
        <w:rPr>
          <w:noProof/>
        </w:rPr>
        <w:t>he legal framework regulating the access to information and documents remain</w:t>
      </w:r>
      <w:r>
        <w:rPr>
          <w:noProof/>
        </w:rPr>
        <w:t>ed</w:t>
      </w:r>
      <w:r w:rsidRPr="00230D53">
        <w:rPr>
          <w:noProof/>
        </w:rPr>
        <w:t xml:space="preserve"> stable and </w:t>
      </w:r>
      <w:r>
        <w:rPr>
          <w:noProof/>
        </w:rPr>
        <w:t xml:space="preserve">is </w:t>
      </w:r>
      <w:r w:rsidRPr="00230D53">
        <w:rPr>
          <w:noProof/>
        </w:rPr>
        <w:t>generally assessed as favourable</w:t>
      </w:r>
      <w:r w:rsidRPr="00230D53">
        <w:rPr>
          <w:rStyle w:val="FootnoteReference"/>
          <w:noProof/>
        </w:rPr>
        <w:footnoteReference w:id="126"/>
      </w:r>
      <w:r w:rsidRPr="00230D53">
        <w:rPr>
          <w:noProof/>
        </w:rPr>
        <w:t xml:space="preserve">. Moreover, </w:t>
      </w:r>
      <w:r>
        <w:rPr>
          <w:noProof/>
        </w:rPr>
        <w:t xml:space="preserve">for </w:t>
      </w:r>
      <w:r w:rsidRPr="00230D53">
        <w:rPr>
          <w:noProof/>
        </w:rPr>
        <w:t>access to public information held by any public body, media and journalists benefit from an accelerated procedure pursuant to the Media Act</w:t>
      </w:r>
      <w:r w:rsidRPr="00230D53">
        <w:rPr>
          <w:rStyle w:val="FootnoteReference"/>
          <w:noProof/>
        </w:rPr>
        <w:footnoteReference w:id="127"/>
      </w:r>
      <w:r w:rsidRPr="00230D53">
        <w:rPr>
          <w:noProof/>
        </w:rPr>
        <w:t xml:space="preserve">. </w:t>
      </w:r>
      <w:r>
        <w:rPr>
          <w:noProof/>
        </w:rPr>
        <w:t>C</w:t>
      </w:r>
      <w:r w:rsidRPr="00230D53">
        <w:rPr>
          <w:noProof/>
        </w:rPr>
        <w:t xml:space="preserve">ivil society and professional organisations have reported some practical obstacles in accessing information, including </w:t>
      </w:r>
      <w:r>
        <w:rPr>
          <w:noProof/>
        </w:rPr>
        <w:t>an increasing number of complaints as well as lengthy complaint procedures</w:t>
      </w:r>
      <w:r w:rsidRPr="00230D53">
        <w:rPr>
          <w:rStyle w:val="FootnoteReference"/>
          <w:noProof/>
        </w:rPr>
        <w:footnoteReference w:id="128"/>
      </w:r>
      <w:r w:rsidRPr="00230D53">
        <w:rPr>
          <w:noProof/>
        </w:rPr>
        <w:t xml:space="preserve">. </w:t>
      </w:r>
      <w:r>
        <w:rPr>
          <w:noProof/>
        </w:rPr>
        <w:t>Of the contested cases brought by journalists before the Administrative Court, more than half ended in favour of the journalists</w:t>
      </w:r>
      <w:r>
        <w:rPr>
          <w:rStyle w:val="FootnoteReference"/>
          <w:noProof/>
        </w:rPr>
        <w:footnoteReference w:id="129"/>
      </w:r>
      <w:r>
        <w:rPr>
          <w:noProof/>
        </w:rPr>
        <w:t xml:space="preserve">. In </w:t>
      </w:r>
      <w:r w:rsidRPr="001203C2">
        <w:rPr>
          <w:noProof/>
        </w:rPr>
        <w:t>general, the risk regarding protection of right to information has been assessed as low by the MPM</w:t>
      </w:r>
      <w:r w:rsidRPr="001203C2">
        <w:rPr>
          <w:rStyle w:val="FootnoteReference"/>
          <w:noProof/>
        </w:rPr>
        <w:footnoteReference w:id="130"/>
      </w:r>
      <w:r w:rsidRPr="001203C2">
        <w:rPr>
          <w:noProof/>
        </w:rPr>
        <w:t>.</w:t>
      </w:r>
    </w:p>
    <w:p w14:paraId="118EF54C" w14:textId="77777777" w:rsidR="001D33E1" w:rsidRPr="00230D53" w:rsidRDefault="001D33E1" w:rsidP="001D33E1">
      <w:pPr>
        <w:spacing w:after="160"/>
        <w:rPr>
          <w:noProof/>
        </w:rPr>
      </w:pPr>
      <w:r w:rsidRPr="00955B6C">
        <w:rPr>
          <w:b/>
          <w:noProof/>
        </w:rPr>
        <w:t>Journalists highlighted persistent difficult working conditions</w:t>
      </w:r>
      <w:r>
        <w:rPr>
          <w:b/>
          <w:noProof/>
        </w:rPr>
        <w:t>,</w:t>
      </w:r>
      <w:r w:rsidRPr="0003522A">
        <w:rPr>
          <w:noProof/>
        </w:rPr>
        <w:t xml:space="preserve"> </w:t>
      </w:r>
      <w:r w:rsidRPr="0003522A">
        <w:rPr>
          <w:b/>
          <w:noProof/>
        </w:rPr>
        <w:t xml:space="preserve">while efforts to strengthen their </w:t>
      </w:r>
      <w:r>
        <w:rPr>
          <w:b/>
          <w:noProof/>
        </w:rPr>
        <w:t>profession</w:t>
      </w:r>
      <w:r w:rsidRPr="0003522A">
        <w:rPr>
          <w:b/>
          <w:noProof/>
        </w:rPr>
        <w:t xml:space="preserve"> and </w:t>
      </w:r>
      <w:r>
        <w:rPr>
          <w:b/>
          <w:noProof/>
        </w:rPr>
        <w:t xml:space="preserve">introduce </w:t>
      </w:r>
      <w:r w:rsidRPr="0003522A">
        <w:rPr>
          <w:b/>
          <w:noProof/>
        </w:rPr>
        <w:t>self-regulation continue</w:t>
      </w:r>
      <w:r>
        <w:rPr>
          <w:b/>
          <w:noProof/>
        </w:rPr>
        <w:t>d.</w:t>
      </w:r>
      <w:r w:rsidRPr="00230D53">
        <w:rPr>
          <w:b/>
          <w:noProof/>
        </w:rPr>
        <w:t xml:space="preserve"> </w:t>
      </w:r>
      <w:r w:rsidRPr="00955B6C">
        <w:rPr>
          <w:noProof/>
        </w:rPr>
        <w:t>Among the main challenges, they listed</w:t>
      </w:r>
      <w:r w:rsidRPr="00230D53">
        <w:rPr>
          <w:b/>
          <w:noProof/>
        </w:rPr>
        <w:t xml:space="preserve"> </w:t>
      </w:r>
      <w:r w:rsidRPr="00230D53">
        <w:rPr>
          <w:noProof/>
        </w:rPr>
        <w:t>layoffs</w:t>
      </w:r>
      <w:r>
        <w:rPr>
          <w:noProof/>
        </w:rPr>
        <w:t>, low pay,</w:t>
      </w:r>
      <w:r w:rsidRPr="00230D53">
        <w:rPr>
          <w:noProof/>
        </w:rPr>
        <w:t xml:space="preserve"> and precarious employment conditions, including short-term contracts, which negatively affect editorial independence</w:t>
      </w:r>
      <w:r w:rsidRPr="00230D53">
        <w:rPr>
          <w:rStyle w:val="FootnoteReference"/>
          <w:noProof/>
        </w:rPr>
        <w:footnoteReference w:id="131"/>
      </w:r>
      <w:r w:rsidRPr="00230D53">
        <w:rPr>
          <w:noProof/>
        </w:rPr>
        <w:t xml:space="preserve">. </w:t>
      </w:r>
      <w:r>
        <w:rPr>
          <w:noProof/>
        </w:rPr>
        <w:t xml:space="preserve">Some stakeholders also </w:t>
      </w:r>
      <w:r w:rsidRPr="00FC049A">
        <w:rPr>
          <w:noProof/>
        </w:rPr>
        <w:t>reported occasional pressure linked to ownership interests</w:t>
      </w:r>
      <w:r>
        <w:rPr>
          <w:rStyle w:val="FootnoteReference"/>
          <w:noProof/>
        </w:rPr>
        <w:footnoteReference w:id="132"/>
      </w:r>
      <w:r>
        <w:rPr>
          <w:noProof/>
        </w:rPr>
        <w:t xml:space="preserve"> and </w:t>
      </w:r>
      <w:r w:rsidRPr="00230D53">
        <w:rPr>
          <w:noProof/>
        </w:rPr>
        <w:t>noted the absence of a sector-wide collective agreement protecting journalists in private media</w:t>
      </w:r>
      <w:r w:rsidRPr="00230D53">
        <w:rPr>
          <w:rStyle w:val="FootnoteReference"/>
          <w:noProof/>
        </w:rPr>
        <w:footnoteReference w:id="133"/>
      </w:r>
      <w:r>
        <w:rPr>
          <w:noProof/>
        </w:rPr>
        <w:t>.</w:t>
      </w:r>
      <w:r w:rsidRPr="00230D53">
        <w:rPr>
          <w:noProof/>
        </w:rPr>
        <w:t xml:space="preserve"> To address </w:t>
      </w:r>
      <w:r>
        <w:rPr>
          <w:noProof/>
        </w:rPr>
        <w:t xml:space="preserve">some </w:t>
      </w:r>
      <w:r w:rsidRPr="00230D53">
        <w:rPr>
          <w:noProof/>
        </w:rPr>
        <w:t xml:space="preserve">challenges </w:t>
      </w:r>
      <w:r>
        <w:rPr>
          <w:noProof/>
        </w:rPr>
        <w:t>for</w:t>
      </w:r>
      <w:r w:rsidRPr="00230D53">
        <w:rPr>
          <w:noProof/>
        </w:rPr>
        <w:t xml:space="preserve"> the economic sustainability of media outlets, the new Media Act introduced </w:t>
      </w:r>
      <w:r>
        <w:rPr>
          <w:noProof/>
        </w:rPr>
        <w:t>support</w:t>
      </w:r>
      <w:r w:rsidRPr="00230D53">
        <w:rPr>
          <w:noProof/>
        </w:rPr>
        <w:t xml:space="preserve"> schemes that were generally positively perceived by stakeholders</w:t>
      </w:r>
      <w:r w:rsidRPr="00230D53">
        <w:rPr>
          <w:rStyle w:val="FootnoteReference"/>
          <w:noProof/>
        </w:rPr>
        <w:footnoteReference w:id="134"/>
      </w:r>
      <w:r w:rsidRPr="00230D53">
        <w:rPr>
          <w:noProof/>
        </w:rPr>
        <w:t>. Local media continue to be almost exclusively supported by local fund</w:t>
      </w:r>
      <w:r>
        <w:rPr>
          <w:noProof/>
        </w:rPr>
        <w:t>ing</w:t>
      </w:r>
      <w:r w:rsidRPr="00230D53">
        <w:rPr>
          <w:noProof/>
        </w:rPr>
        <w:t> schemes, while some are directly owned or controlled by local </w:t>
      </w:r>
      <w:r>
        <w:rPr>
          <w:noProof/>
        </w:rPr>
        <w:t>authorities</w:t>
      </w:r>
      <w:r w:rsidRPr="00230D53">
        <w:rPr>
          <w:noProof/>
        </w:rPr>
        <w:t xml:space="preserve">, raising questions </w:t>
      </w:r>
      <w:r>
        <w:rPr>
          <w:noProof/>
        </w:rPr>
        <w:t>about</w:t>
      </w:r>
      <w:r w:rsidRPr="00230D53">
        <w:rPr>
          <w:noProof/>
        </w:rPr>
        <w:t xml:space="preserve"> the level</w:t>
      </w:r>
      <w:r>
        <w:rPr>
          <w:noProof/>
        </w:rPr>
        <w:t>-</w:t>
      </w:r>
      <w:r w:rsidRPr="00230D53">
        <w:rPr>
          <w:noProof/>
        </w:rPr>
        <w:t>playing field on the local media market</w:t>
      </w:r>
      <w:r w:rsidRPr="00230D53">
        <w:rPr>
          <w:rStyle w:val="FootnoteReference"/>
          <w:noProof/>
        </w:rPr>
        <w:footnoteReference w:id="135"/>
      </w:r>
      <w:r w:rsidRPr="00230D53">
        <w:rPr>
          <w:noProof/>
        </w:rPr>
        <w:t xml:space="preserve">. </w:t>
      </w:r>
      <w:r>
        <w:rPr>
          <w:noProof/>
        </w:rPr>
        <w:t>E</w:t>
      </w:r>
      <w:r w:rsidRPr="00230D53">
        <w:rPr>
          <w:noProof/>
        </w:rPr>
        <w:t xml:space="preserve">fforts </w:t>
      </w:r>
      <w:r>
        <w:rPr>
          <w:noProof/>
        </w:rPr>
        <w:t>continue</w:t>
      </w:r>
      <w:r w:rsidRPr="00230D53">
        <w:rPr>
          <w:noProof/>
        </w:rPr>
        <w:t xml:space="preserve"> to establish a journalistic council to create a self-regulatory body that could contribute to strengthening the status of journalists</w:t>
      </w:r>
      <w:r w:rsidRPr="00230D53">
        <w:rPr>
          <w:rStyle w:val="FootnoteReference"/>
          <w:noProof/>
        </w:rPr>
        <w:footnoteReference w:id="136"/>
      </w:r>
      <w:r>
        <w:rPr>
          <w:noProof/>
        </w:rPr>
        <w:t>.</w:t>
      </w:r>
      <w:r w:rsidRPr="00230D53">
        <w:rPr>
          <w:noProof/>
        </w:rPr>
        <w:t xml:space="preserve"> </w:t>
      </w:r>
      <w:r>
        <w:rPr>
          <w:noProof/>
        </w:rPr>
        <w:t xml:space="preserve">Overall, MPM </w:t>
      </w:r>
      <w:r w:rsidRPr="00B27208">
        <w:rPr>
          <w:noProof/>
        </w:rPr>
        <w:t>flags medium-high risk for the protection of freedom of expression</w:t>
      </w:r>
      <w:r>
        <w:rPr>
          <w:noProof/>
        </w:rPr>
        <w:t xml:space="preserve"> and medium-low risk for the journalistic profession, standards and protection</w:t>
      </w:r>
      <w:r>
        <w:rPr>
          <w:rStyle w:val="FootnoteReference"/>
          <w:noProof/>
        </w:rPr>
        <w:footnoteReference w:id="137"/>
      </w:r>
      <w:r>
        <w:rPr>
          <w:noProof/>
        </w:rPr>
        <w:t>.</w:t>
      </w:r>
    </w:p>
    <w:p w14:paraId="34651F81" w14:textId="32E7CF63" w:rsidR="001D33E1" w:rsidRDefault="001D33E1" w:rsidP="001D33E1">
      <w:pPr>
        <w:rPr>
          <w:noProof/>
        </w:rPr>
      </w:pPr>
      <w:r>
        <w:rPr>
          <w:b/>
          <w:noProof/>
        </w:rPr>
        <w:t xml:space="preserve">Some further </w:t>
      </w:r>
      <w:r w:rsidRPr="00230D53">
        <w:rPr>
          <w:b/>
          <w:noProof/>
        </w:rPr>
        <w:t xml:space="preserve">progress was made on the recommendation to improve the protection of journalists, </w:t>
      </w:r>
      <w:r w:rsidRPr="00230D53">
        <w:rPr>
          <w:b/>
          <w:bCs/>
          <w:noProof/>
        </w:rPr>
        <w:t>while</w:t>
      </w:r>
      <w:r w:rsidRPr="00230D53">
        <w:rPr>
          <w:b/>
          <w:noProof/>
        </w:rPr>
        <w:t xml:space="preserve"> challenges remain</w:t>
      </w:r>
      <w:r>
        <w:rPr>
          <w:b/>
          <w:noProof/>
        </w:rPr>
        <w:t>,</w:t>
      </w:r>
      <w:r w:rsidRPr="00230D53" w:rsidDel="007B5D4B">
        <w:rPr>
          <w:b/>
          <w:noProof/>
        </w:rPr>
        <w:t xml:space="preserve"> </w:t>
      </w:r>
      <w:r w:rsidRPr="00230D53">
        <w:rPr>
          <w:b/>
          <w:noProof/>
        </w:rPr>
        <w:t xml:space="preserve">pending the practical application of new </w:t>
      </w:r>
      <w:r w:rsidRPr="00230D53">
        <w:rPr>
          <w:b/>
          <w:bCs/>
          <w:noProof/>
        </w:rPr>
        <w:t>laws</w:t>
      </w:r>
      <w:r w:rsidRPr="00410EE5">
        <w:rPr>
          <w:rStyle w:val="FootnoteReference"/>
          <w:b/>
          <w:noProof/>
        </w:rPr>
        <w:footnoteReference w:id="138"/>
      </w:r>
      <w:r w:rsidRPr="00230D53">
        <w:rPr>
          <w:noProof/>
        </w:rPr>
        <w:t xml:space="preserve">. </w:t>
      </w:r>
      <w:r>
        <w:rPr>
          <w:noProof/>
        </w:rPr>
        <w:t>W</w:t>
      </w:r>
      <w:r w:rsidRPr="005949B7">
        <w:rPr>
          <w:noProof/>
        </w:rPr>
        <w:t>ith a view to alignment with EMFA</w:t>
      </w:r>
      <w:r>
        <w:rPr>
          <w:noProof/>
        </w:rPr>
        <w:t xml:space="preserve">, </w:t>
      </w:r>
      <w:r w:rsidRPr="00230D53">
        <w:rPr>
          <w:noProof/>
        </w:rPr>
        <w:t>the new Media Act adopted in September 2025 enhanced protection of journalistic sources and stricter conditions for the use of surveillance measures against journalists and newsroom devices</w:t>
      </w:r>
      <w:r>
        <w:rPr>
          <w:noProof/>
        </w:rPr>
        <w:t xml:space="preserve"> to further strengthen the safeguards for journalists</w:t>
      </w:r>
      <w:r w:rsidRPr="00230D53">
        <w:rPr>
          <w:rStyle w:val="FootnoteReference"/>
          <w:noProof/>
        </w:rPr>
        <w:footnoteReference w:id="139"/>
      </w:r>
      <w:r w:rsidRPr="00230D53">
        <w:rPr>
          <w:noProof/>
        </w:rPr>
        <w:t xml:space="preserve">. </w:t>
      </w:r>
      <w:r>
        <w:rPr>
          <w:noProof/>
        </w:rPr>
        <w:t xml:space="preserve">Powers under the Act regarding </w:t>
      </w:r>
      <w:r w:rsidRPr="001C22C1">
        <w:rPr>
          <w:noProof/>
        </w:rPr>
        <w:t xml:space="preserve">assistance </w:t>
      </w:r>
      <w:r>
        <w:rPr>
          <w:noProof/>
        </w:rPr>
        <w:t>in the area of the protection of journalistic sources have been assigned to the Culture and Media Inspectorate within the Ministry of Culture</w:t>
      </w:r>
      <w:r>
        <w:rPr>
          <w:rStyle w:val="FootnoteReference"/>
          <w:noProof/>
        </w:rPr>
        <w:footnoteReference w:id="140"/>
      </w:r>
      <w:r>
        <w:rPr>
          <w:noProof/>
        </w:rPr>
        <w:t>.</w:t>
      </w:r>
      <w:r w:rsidRPr="00230D53">
        <w:rPr>
          <w:noProof/>
        </w:rPr>
        <w:t xml:space="preserve"> </w:t>
      </w:r>
      <w:r>
        <w:rPr>
          <w:noProof/>
        </w:rPr>
        <w:t xml:space="preserve">Further, in January 2026, </w:t>
      </w:r>
      <w:r w:rsidR="004320D1">
        <w:rPr>
          <w:noProof/>
        </w:rPr>
        <w:t xml:space="preserve">the former </w:t>
      </w:r>
      <w:r>
        <w:rPr>
          <w:noProof/>
        </w:rPr>
        <w:t>Parliament</w:t>
      </w:r>
      <w:r w:rsidRPr="00230D53">
        <w:rPr>
          <w:noProof/>
        </w:rPr>
        <w:t xml:space="preserve"> adopted the Act on Protective Measures against Strategic Lawsuits Against Public Participation (‘Anti-SLAPP Act’</w:t>
      </w:r>
      <w:r w:rsidRPr="00230D53">
        <w:rPr>
          <w:b/>
          <w:noProof/>
        </w:rPr>
        <w:t>)</w:t>
      </w:r>
      <w:r w:rsidRPr="00174081">
        <w:rPr>
          <w:noProof/>
        </w:rPr>
        <w:t>, which</w:t>
      </w:r>
      <w:r w:rsidRPr="00230D53">
        <w:rPr>
          <w:b/>
          <w:noProof/>
        </w:rPr>
        <w:t xml:space="preserve"> </w:t>
      </w:r>
      <w:r w:rsidRPr="00174081">
        <w:rPr>
          <w:noProof/>
        </w:rPr>
        <w:t>provides</w:t>
      </w:r>
      <w:r w:rsidRPr="00230D53">
        <w:rPr>
          <w:b/>
          <w:noProof/>
        </w:rPr>
        <w:t xml:space="preserve"> </w:t>
      </w:r>
      <w:r w:rsidRPr="00230D53">
        <w:rPr>
          <w:noProof/>
        </w:rPr>
        <w:t xml:space="preserve">protection </w:t>
      </w:r>
      <w:r>
        <w:rPr>
          <w:noProof/>
        </w:rPr>
        <w:t>in</w:t>
      </w:r>
      <w:r w:rsidRPr="00230D53">
        <w:rPr>
          <w:noProof/>
        </w:rPr>
        <w:t xml:space="preserve"> </w:t>
      </w:r>
      <w:r>
        <w:rPr>
          <w:noProof/>
        </w:rPr>
        <w:t>both cross-border and domestic cases</w:t>
      </w:r>
      <w:r w:rsidRPr="00230D53">
        <w:rPr>
          <w:rStyle w:val="FootnoteReference"/>
          <w:noProof/>
        </w:rPr>
        <w:footnoteReference w:id="141"/>
      </w:r>
      <w:r w:rsidRPr="00230D53">
        <w:rPr>
          <w:noProof/>
        </w:rPr>
        <w:t xml:space="preserve">. Journalists pointed out that most SLAPP cases are </w:t>
      </w:r>
      <w:r>
        <w:rPr>
          <w:noProof/>
        </w:rPr>
        <w:t xml:space="preserve">brought </w:t>
      </w:r>
      <w:r w:rsidRPr="00230D53">
        <w:rPr>
          <w:noProof/>
        </w:rPr>
        <w:t xml:space="preserve">in criminal courts, particularly </w:t>
      </w:r>
      <w:r>
        <w:rPr>
          <w:noProof/>
        </w:rPr>
        <w:t xml:space="preserve">on </w:t>
      </w:r>
      <w:r w:rsidRPr="00230D53">
        <w:rPr>
          <w:noProof/>
        </w:rPr>
        <w:t xml:space="preserve">defamation and insult </w:t>
      </w:r>
      <w:r>
        <w:rPr>
          <w:noProof/>
        </w:rPr>
        <w:t>grounds</w:t>
      </w:r>
      <w:r w:rsidRPr="00230D53">
        <w:rPr>
          <w:noProof/>
        </w:rPr>
        <w:t xml:space="preserve">, </w:t>
      </w:r>
      <w:r>
        <w:rPr>
          <w:noProof/>
        </w:rPr>
        <w:t>and</w:t>
      </w:r>
      <w:r w:rsidRPr="00230D53">
        <w:rPr>
          <w:noProof/>
        </w:rPr>
        <w:t xml:space="preserve"> are not covered by the Anti-SLAPP Act</w:t>
      </w:r>
      <w:r w:rsidRPr="00230D53">
        <w:rPr>
          <w:rStyle w:val="FootnoteReference"/>
          <w:noProof/>
        </w:rPr>
        <w:footnoteReference w:id="142"/>
      </w:r>
      <w:r w:rsidRPr="00230D53">
        <w:rPr>
          <w:noProof/>
        </w:rPr>
        <w:t xml:space="preserve">. </w:t>
      </w:r>
      <w:r>
        <w:rPr>
          <w:noProof/>
        </w:rPr>
        <w:t xml:space="preserve">The new Act provides the possibility to apply the </w:t>
      </w:r>
      <w:r w:rsidRPr="00230D53">
        <w:rPr>
          <w:noProof/>
        </w:rPr>
        <w:t>security-for-costs</w:t>
      </w:r>
      <w:r>
        <w:rPr>
          <w:noProof/>
        </w:rPr>
        <w:t xml:space="preserve"> also in criminal proceedings</w:t>
      </w:r>
      <w:r w:rsidRPr="00230D53">
        <w:rPr>
          <w:rStyle w:val="FootnoteReference"/>
          <w:noProof/>
        </w:rPr>
        <w:footnoteReference w:id="143"/>
      </w:r>
      <w:r w:rsidRPr="00230D53">
        <w:rPr>
          <w:noProof/>
        </w:rPr>
        <w:t xml:space="preserve">, </w:t>
      </w:r>
      <w:r>
        <w:rPr>
          <w:noProof/>
        </w:rPr>
        <w:t>but stakeholders consider that</w:t>
      </w:r>
      <w:r w:rsidRPr="00230D53">
        <w:rPr>
          <w:noProof/>
        </w:rPr>
        <w:t xml:space="preserve"> th</w:t>
      </w:r>
      <w:r>
        <w:rPr>
          <w:noProof/>
        </w:rPr>
        <w:t>is</w:t>
      </w:r>
      <w:r w:rsidRPr="00230D53">
        <w:rPr>
          <w:noProof/>
        </w:rPr>
        <w:t xml:space="preserve"> </w:t>
      </w:r>
      <w:r>
        <w:rPr>
          <w:noProof/>
        </w:rPr>
        <w:t>is</w:t>
      </w:r>
      <w:r w:rsidRPr="00230D53">
        <w:rPr>
          <w:noProof/>
        </w:rPr>
        <w:t xml:space="preserve"> not sufficient</w:t>
      </w:r>
      <w:r w:rsidRPr="00230D53">
        <w:rPr>
          <w:rStyle w:val="FootnoteReference"/>
          <w:noProof/>
        </w:rPr>
        <w:footnoteReference w:id="144"/>
      </w:r>
      <w:r w:rsidRPr="00230D53">
        <w:rPr>
          <w:noProof/>
        </w:rPr>
        <w:t>. The Ministry of Ju</w:t>
      </w:r>
      <w:r>
        <w:rPr>
          <w:noProof/>
        </w:rPr>
        <w:t>s</w:t>
      </w:r>
      <w:r w:rsidRPr="00230D53">
        <w:rPr>
          <w:noProof/>
        </w:rPr>
        <w:t xml:space="preserve">tice is monitoring the </w:t>
      </w:r>
      <w:r>
        <w:rPr>
          <w:noProof/>
        </w:rPr>
        <w:t>application</w:t>
      </w:r>
      <w:r w:rsidRPr="00230D53">
        <w:rPr>
          <w:noProof/>
        </w:rPr>
        <w:t xml:space="preserve"> of the law, including its impact in criminal cases against journalists</w:t>
      </w:r>
      <w:r w:rsidRPr="00230D53">
        <w:rPr>
          <w:rStyle w:val="FootnoteReference"/>
          <w:noProof/>
        </w:rPr>
        <w:footnoteReference w:id="145"/>
      </w:r>
      <w:r w:rsidRPr="00230D53">
        <w:rPr>
          <w:noProof/>
        </w:rPr>
        <w:t>. According to the Ministry</w:t>
      </w:r>
      <w:r>
        <w:rPr>
          <w:noProof/>
        </w:rPr>
        <w:t>,</w:t>
      </w:r>
      <w:r w:rsidRPr="00230D53">
        <w:rPr>
          <w:noProof/>
        </w:rPr>
        <w:t xml:space="preserve"> the introduction of a legal definition of SLAPPs would improve the collection and analysis of data on such cases</w:t>
      </w:r>
      <w:r w:rsidRPr="00230D53">
        <w:rPr>
          <w:rStyle w:val="FootnoteReference"/>
          <w:noProof/>
        </w:rPr>
        <w:footnoteReference w:id="146"/>
      </w:r>
      <w:r w:rsidRPr="00230D53">
        <w:rPr>
          <w:noProof/>
        </w:rPr>
        <w:t xml:space="preserve">. </w:t>
      </w:r>
      <w:r>
        <w:rPr>
          <w:noProof/>
        </w:rPr>
        <w:t xml:space="preserve">According to civil society, 64 SLAPP cases were recorded in Slovenia in the 2010-2024 period, which </w:t>
      </w:r>
      <w:r w:rsidRPr="00EC7FDC">
        <w:rPr>
          <w:noProof/>
        </w:rPr>
        <w:t>places the country among those with a high incidence of SLAPP cases in Europe</w:t>
      </w:r>
      <w:r>
        <w:rPr>
          <w:noProof/>
        </w:rPr>
        <w:t xml:space="preserve"> compared to population size</w:t>
      </w:r>
      <w:r>
        <w:rPr>
          <w:rStyle w:val="FootnoteReference"/>
          <w:noProof/>
        </w:rPr>
        <w:footnoteReference w:id="147"/>
      </w:r>
      <w:r>
        <w:rPr>
          <w:noProof/>
        </w:rPr>
        <w:t xml:space="preserve">. However, since </w:t>
      </w:r>
      <w:r w:rsidRPr="00230D53">
        <w:rPr>
          <w:noProof/>
        </w:rPr>
        <w:t>SLAPP</w:t>
      </w:r>
      <w:r>
        <w:rPr>
          <w:noProof/>
        </w:rPr>
        <w:t xml:space="preserve"> cases against journalists</w:t>
      </w:r>
      <w:r w:rsidRPr="00230D53">
        <w:rPr>
          <w:noProof/>
        </w:rPr>
        <w:t xml:space="preserve"> </w:t>
      </w:r>
      <w:r>
        <w:rPr>
          <w:noProof/>
        </w:rPr>
        <w:t>are assessed to be largely underreported</w:t>
      </w:r>
      <w:r w:rsidRPr="00230D53">
        <w:rPr>
          <w:rStyle w:val="FootnoteReference"/>
          <w:noProof/>
        </w:rPr>
        <w:footnoteReference w:id="148"/>
      </w:r>
      <w:r w:rsidRPr="00230D53">
        <w:rPr>
          <w:noProof/>
        </w:rPr>
        <w:t>, dedicated trainings for judges and journalists on the Anti-SLAPP Act</w:t>
      </w:r>
      <w:r>
        <w:rPr>
          <w:noProof/>
        </w:rPr>
        <w:t xml:space="preserve"> are planned</w:t>
      </w:r>
      <w:r w:rsidRPr="00230D53">
        <w:rPr>
          <w:rStyle w:val="FootnoteReference"/>
          <w:noProof/>
        </w:rPr>
        <w:footnoteReference w:id="149"/>
      </w:r>
      <w:r w:rsidRPr="00230D53">
        <w:rPr>
          <w:noProof/>
        </w:rPr>
        <w:t xml:space="preserve">. </w:t>
      </w:r>
      <w:r>
        <w:rPr>
          <w:noProof/>
        </w:rPr>
        <w:t>According to t</w:t>
      </w:r>
      <w:r w:rsidRPr="00230D53">
        <w:rPr>
          <w:noProof/>
        </w:rPr>
        <w:t xml:space="preserve">he </w:t>
      </w:r>
      <w:r>
        <w:rPr>
          <w:noProof/>
        </w:rPr>
        <w:t>new</w:t>
      </w:r>
      <w:r w:rsidRPr="00230D53">
        <w:rPr>
          <w:noProof/>
        </w:rPr>
        <w:t xml:space="preserve"> </w:t>
      </w:r>
      <w:r>
        <w:rPr>
          <w:noProof/>
        </w:rPr>
        <w:t>a</w:t>
      </w:r>
      <w:r w:rsidRPr="00230D53">
        <w:rPr>
          <w:noProof/>
        </w:rPr>
        <w:t>ct</w:t>
      </w:r>
      <w:r>
        <w:rPr>
          <w:noProof/>
        </w:rPr>
        <w:t>,</w:t>
      </w:r>
      <w:r w:rsidRPr="00230D53">
        <w:rPr>
          <w:noProof/>
        </w:rPr>
        <w:t xml:space="preserve"> as of February 2026</w:t>
      </w:r>
      <w:r>
        <w:rPr>
          <w:noProof/>
        </w:rPr>
        <w:t xml:space="preserve">, </w:t>
      </w:r>
      <w:r w:rsidRPr="00230D53">
        <w:rPr>
          <w:noProof/>
        </w:rPr>
        <w:t>a focal point within the Ministry of Justice</w:t>
      </w:r>
      <w:r>
        <w:rPr>
          <w:noProof/>
        </w:rPr>
        <w:t xml:space="preserve"> began operating</w:t>
      </w:r>
      <w:r w:rsidRPr="00230D53">
        <w:rPr>
          <w:rStyle w:val="FootnoteReference"/>
          <w:noProof/>
        </w:rPr>
        <w:footnoteReference w:id="150"/>
      </w:r>
      <w:r w:rsidRPr="00230D53">
        <w:rPr>
          <w:noProof/>
        </w:rPr>
        <w:t xml:space="preserve">. </w:t>
      </w:r>
      <w:r>
        <w:rPr>
          <w:noProof/>
        </w:rPr>
        <w:t>J</w:t>
      </w:r>
      <w:r w:rsidRPr="00230D53">
        <w:rPr>
          <w:noProof/>
        </w:rPr>
        <w:t>ournalists welcome</w:t>
      </w:r>
      <w:r>
        <w:rPr>
          <w:noProof/>
        </w:rPr>
        <w:t>d</w:t>
      </w:r>
      <w:r w:rsidRPr="00230D53">
        <w:rPr>
          <w:noProof/>
        </w:rPr>
        <w:t xml:space="preserve"> the ambition </w:t>
      </w:r>
      <w:r>
        <w:rPr>
          <w:noProof/>
        </w:rPr>
        <w:t>and</w:t>
      </w:r>
      <w:r w:rsidRPr="00230D53">
        <w:rPr>
          <w:noProof/>
        </w:rPr>
        <w:t xml:space="preserve"> argued that such mechanism should be established outside a </w:t>
      </w:r>
      <w:r>
        <w:rPr>
          <w:noProof/>
        </w:rPr>
        <w:t>m</w:t>
      </w:r>
      <w:r w:rsidRPr="00230D53">
        <w:rPr>
          <w:noProof/>
        </w:rPr>
        <w:t>inistry to ensure its independence and trust</w:t>
      </w:r>
      <w:r w:rsidRPr="00230D53">
        <w:rPr>
          <w:rStyle w:val="FootnoteReference"/>
          <w:noProof/>
        </w:rPr>
        <w:footnoteReference w:id="151"/>
      </w:r>
      <w:r w:rsidRPr="00230D53">
        <w:rPr>
          <w:noProof/>
        </w:rPr>
        <w:t xml:space="preserve">, while further noting that </w:t>
      </w:r>
      <w:r>
        <w:rPr>
          <w:noProof/>
        </w:rPr>
        <w:t>the available</w:t>
      </w:r>
      <w:r w:rsidRPr="00230D53">
        <w:rPr>
          <w:noProof/>
        </w:rPr>
        <w:t xml:space="preserve"> support mechanisms for safety and security </w:t>
      </w:r>
      <w:r>
        <w:rPr>
          <w:noProof/>
        </w:rPr>
        <w:t>of</w:t>
      </w:r>
      <w:r w:rsidRPr="00230D53">
        <w:rPr>
          <w:noProof/>
        </w:rPr>
        <w:t xml:space="preserve"> journalists remain short-term and project-oriented</w:t>
      </w:r>
      <w:r w:rsidRPr="00230D53">
        <w:rPr>
          <w:rStyle w:val="FootnoteReference"/>
          <w:noProof/>
        </w:rPr>
        <w:footnoteReference w:id="152"/>
      </w:r>
      <w:r w:rsidRPr="00230D53">
        <w:rPr>
          <w:noProof/>
        </w:rPr>
        <w:t xml:space="preserve">. </w:t>
      </w:r>
      <w:r w:rsidR="00C257BE">
        <w:rPr>
          <w:noProof/>
          <w:sz w:val="22"/>
          <w:szCs w:val="22"/>
        </w:rPr>
        <w:t>The focal point is cooperating with representatives of media, CSOs and the academic community, as well as with the Office of the Ombudsperson</w:t>
      </w:r>
      <w:r w:rsidR="00C257BE">
        <w:rPr>
          <w:rStyle w:val="FootnoteReference"/>
          <w:noProof/>
          <w:sz w:val="22"/>
          <w:szCs w:val="22"/>
        </w:rPr>
        <w:footnoteReference w:id="153"/>
      </w:r>
      <w:r w:rsidR="00C257BE">
        <w:rPr>
          <w:noProof/>
          <w:sz w:val="22"/>
          <w:szCs w:val="22"/>
        </w:rPr>
        <w:t xml:space="preserve">. </w:t>
      </w:r>
      <w:r w:rsidRPr="002E7D8B">
        <w:rPr>
          <w:noProof/>
        </w:rPr>
        <w:t xml:space="preserve">Since the 2025 Rule of Law Report, </w:t>
      </w:r>
      <w:r w:rsidRPr="003C5390">
        <w:rPr>
          <w:noProof/>
        </w:rPr>
        <w:t>two</w:t>
      </w:r>
      <w:r>
        <w:rPr>
          <w:noProof/>
        </w:rPr>
        <w:t xml:space="preserve"> </w:t>
      </w:r>
      <w:r w:rsidRPr="002E7D8B">
        <w:rPr>
          <w:noProof/>
        </w:rPr>
        <w:t>new alerts have been recorded on the Council of Europe’s Platform to promote the protection of journalism and safety of journalists, both concerning harassment and intimidation of journalists</w:t>
      </w:r>
      <w:r>
        <w:rPr>
          <w:rStyle w:val="FootnoteReference"/>
          <w:noProof/>
        </w:rPr>
        <w:footnoteReference w:id="154"/>
      </w:r>
      <w:r w:rsidRPr="002E7D8B">
        <w:rPr>
          <w:noProof/>
        </w:rPr>
        <w:t xml:space="preserve">. </w:t>
      </w:r>
      <w:r>
        <w:rPr>
          <w:noProof/>
        </w:rPr>
        <w:t>T</w:t>
      </w:r>
      <w:r w:rsidRPr="000B7D81">
        <w:rPr>
          <w:noProof/>
        </w:rPr>
        <w:t>he Mapping Media Freedom monitoring report has noted 9 new alerts, including verbal attacks and legal incidents</w:t>
      </w:r>
      <w:r>
        <w:rPr>
          <w:rStyle w:val="FootnoteReference"/>
          <w:noProof/>
        </w:rPr>
        <w:footnoteReference w:id="155"/>
      </w:r>
      <w:r w:rsidRPr="000B7D81">
        <w:rPr>
          <w:noProof/>
        </w:rPr>
        <w:t xml:space="preserve">. </w:t>
      </w:r>
      <w:r w:rsidRPr="00230D53">
        <w:rPr>
          <w:noProof/>
        </w:rPr>
        <w:t>Overall,</w:t>
      </w:r>
      <w:r>
        <w:rPr>
          <w:noProof/>
        </w:rPr>
        <w:t xml:space="preserve"> given that some legislative and non-legislative measures have been adopted, to enhance the protection of journalists, </w:t>
      </w:r>
      <w:r w:rsidRPr="00230D53">
        <w:rPr>
          <w:noProof/>
        </w:rPr>
        <w:t xml:space="preserve">there has been some </w:t>
      </w:r>
      <w:r w:rsidRPr="00230D53" w:rsidDel="00854A36">
        <w:rPr>
          <w:noProof/>
        </w:rPr>
        <w:t xml:space="preserve">further </w:t>
      </w:r>
      <w:r w:rsidRPr="00230D53">
        <w:rPr>
          <w:noProof/>
        </w:rPr>
        <w:t>progress on the recommendation.</w:t>
      </w:r>
    </w:p>
    <w:p w14:paraId="267668DD" w14:textId="77777777" w:rsidR="001D33E1" w:rsidRPr="00053759" w:rsidRDefault="001D33E1" w:rsidP="00045904">
      <w:pPr>
        <w:pStyle w:val="Heading1"/>
        <w:numPr>
          <w:ilvl w:val="0"/>
          <w:numId w:val="40"/>
        </w:numPr>
        <w:spacing w:before="0"/>
        <w:rPr>
          <w:noProof/>
          <w:u w:val="single"/>
        </w:rPr>
      </w:pPr>
      <w:r w:rsidRPr="00053759">
        <w:rPr>
          <w:noProof/>
          <w:u w:val="single"/>
        </w:rPr>
        <w:t>Other Institutional Issues related to Checks and Balances</w:t>
      </w:r>
    </w:p>
    <w:p w14:paraId="27A1A753" w14:textId="7099DC93" w:rsidR="001D33E1" w:rsidRDefault="001D33E1" w:rsidP="001D33E1">
      <w:pPr>
        <w:rPr>
          <w:rFonts w:eastAsia="Calibri"/>
          <w:bCs/>
          <w:noProof/>
          <w:lang w:eastAsia="fr-FR"/>
        </w:rPr>
      </w:pPr>
      <w:r>
        <w:rPr>
          <w:b/>
          <w:bCs/>
          <w:noProof/>
          <w:lang w:val="en-IE" w:eastAsia="fr-FR"/>
        </w:rPr>
        <w:t>T</w:t>
      </w:r>
      <w:r w:rsidRPr="009C4F27">
        <w:rPr>
          <w:b/>
          <w:bCs/>
          <w:noProof/>
          <w:lang w:val="en-IE" w:eastAsia="fr-FR"/>
        </w:rPr>
        <w:t xml:space="preserve">he </w:t>
      </w:r>
      <w:r w:rsidRPr="009C4F27">
        <w:rPr>
          <w:b/>
          <w:bCs/>
          <w:noProof/>
          <w:lang w:eastAsia="fr-FR"/>
        </w:rPr>
        <w:t xml:space="preserve">Ombudsperson </w:t>
      </w:r>
      <w:r>
        <w:rPr>
          <w:b/>
          <w:bCs/>
          <w:noProof/>
          <w:lang w:eastAsia="fr-FR"/>
        </w:rPr>
        <w:t>continued responding to an important number of complaints</w:t>
      </w:r>
      <w:r w:rsidRPr="009C4F27">
        <w:rPr>
          <w:b/>
          <w:bCs/>
          <w:noProof/>
          <w:lang w:eastAsia="fr-FR"/>
        </w:rPr>
        <w:t>.</w:t>
      </w:r>
      <w:r>
        <w:rPr>
          <w:b/>
          <w:bCs/>
          <w:noProof/>
          <w:lang w:eastAsia="fr-FR"/>
        </w:rPr>
        <w:t xml:space="preserve"> </w:t>
      </w:r>
      <w:r w:rsidRPr="008E6559">
        <w:rPr>
          <w:bCs/>
          <w:noProof/>
          <w:lang w:val="en-IE" w:eastAsia="fr-FR"/>
        </w:rPr>
        <w:t>The Ombudsperson is the National Human Rights Institution, accredited with A-Status</w:t>
      </w:r>
      <w:r w:rsidRPr="008E6559">
        <w:rPr>
          <w:bCs/>
          <w:noProof/>
          <w:vertAlign w:val="superscript"/>
          <w:lang w:val="en-IE" w:eastAsia="fr-FR"/>
        </w:rPr>
        <w:footnoteReference w:id="156"/>
      </w:r>
      <w:r w:rsidRPr="008E6559">
        <w:rPr>
          <w:bCs/>
          <w:noProof/>
          <w:lang w:val="en-IE" w:eastAsia="fr-FR"/>
        </w:rPr>
        <w:t>.</w:t>
      </w:r>
      <w:r>
        <w:rPr>
          <w:bCs/>
          <w:noProof/>
          <w:lang w:val="en-IE" w:eastAsia="fr-FR"/>
        </w:rPr>
        <w:t xml:space="preserve"> On 3 February 2026, the </w:t>
      </w:r>
      <w:r w:rsidR="004320D1">
        <w:rPr>
          <w:bCs/>
          <w:noProof/>
          <w:lang w:val="en-IE" w:eastAsia="fr-FR"/>
        </w:rPr>
        <w:t xml:space="preserve">former </w:t>
      </w:r>
      <w:r>
        <w:rPr>
          <w:bCs/>
          <w:noProof/>
          <w:lang w:val="en-IE" w:eastAsia="fr-FR"/>
        </w:rPr>
        <w:t>Parliament appointed a new Ombudsperson, filling the position which had been vacant for nearly a year</w:t>
      </w:r>
      <w:r>
        <w:rPr>
          <w:rStyle w:val="FootnoteReference"/>
          <w:bCs/>
          <w:noProof/>
          <w:lang w:val="en-IE" w:eastAsia="fr-FR"/>
        </w:rPr>
        <w:footnoteReference w:id="157"/>
      </w:r>
      <w:r>
        <w:rPr>
          <w:bCs/>
          <w:noProof/>
          <w:lang w:val="en-IE" w:eastAsia="fr-FR"/>
        </w:rPr>
        <w:t xml:space="preserve">. In 2025, the financial and human resources of the Ombudsperson’s office remained adequate. The amendments to the </w:t>
      </w:r>
      <w:r w:rsidRPr="00725508">
        <w:rPr>
          <w:bCs/>
          <w:noProof/>
          <w:lang w:val="en-IE" w:eastAsia="fr-FR"/>
        </w:rPr>
        <w:t>Human Rights Ombudsperson’s Act</w:t>
      </w:r>
      <w:r>
        <w:rPr>
          <w:bCs/>
          <w:noProof/>
          <w:lang w:val="en-IE" w:eastAsia="fr-FR"/>
        </w:rPr>
        <w:t>, which were previously in preparation and were shared with the Ombudsperson, have been postponed to 2026</w:t>
      </w:r>
      <w:r>
        <w:rPr>
          <w:rStyle w:val="FootnoteReference"/>
          <w:bCs/>
          <w:noProof/>
          <w:lang w:val="en-IE" w:eastAsia="fr-FR"/>
        </w:rPr>
        <w:footnoteReference w:id="158"/>
      </w:r>
      <w:r>
        <w:rPr>
          <w:bCs/>
          <w:noProof/>
          <w:lang w:val="en-IE" w:eastAsia="fr-FR"/>
        </w:rPr>
        <w:t>.</w:t>
      </w:r>
      <w:r w:rsidRPr="00E821AB">
        <w:rPr>
          <w:noProof/>
          <w:lang w:eastAsia="fr-FR"/>
        </w:rPr>
        <w:t xml:space="preserve"> </w:t>
      </w:r>
      <w:r>
        <w:rPr>
          <w:noProof/>
          <w:lang w:eastAsia="fr-FR"/>
        </w:rPr>
        <w:t>As regards the Ombudsperson’s powers, e</w:t>
      </w:r>
      <w:r w:rsidRPr="000B326F">
        <w:rPr>
          <w:noProof/>
          <w:lang w:eastAsia="fr-FR"/>
        </w:rPr>
        <w:t xml:space="preserve">fforts </w:t>
      </w:r>
      <w:r>
        <w:rPr>
          <w:noProof/>
          <w:lang w:eastAsia="fr-FR"/>
        </w:rPr>
        <w:t>continued</w:t>
      </w:r>
      <w:r w:rsidRPr="000B326F">
        <w:rPr>
          <w:noProof/>
          <w:lang w:eastAsia="fr-FR"/>
        </w:rPr>
        <w:t xml:space="preserve"> </w:t>
      </w:r>
      <w:r>
        <w:rPr>
          <w:noProof/>
          <w:lang w:eastAsia="fr-FR"/>
        </w:rPr>
        <w:t>with a view to organising the</w:t>
      </w:r>
      <w:r w:rsidRPr="000B326F">
        <w:rPr>
          <w:noProof/>
          <w:lang w:eastAsia="fr-FR"/>
        </w:rPr>
        <w:t xml:space="preserve"> monitoring of the Convention on the Rights of Persons with Disabilities within the Ombuds</w:t>
      </w:r>
      <w:r>
        <w:rPr>
          <w:noProof/>
          <w:lang w:eastAsia="fr-FR"/>
        </w:rPr>
        <w:t>person’</w:t>
      </w:r>
      <w:r w:rsidRPr="000B326F">
        <w:rPr>
          <w:noProof/>
          <w:lang w:eastAsia="fr-FR"/>
        </w:rPr>
        <w:t>s office</w:t>
      </w:r>
      <w:r>
        <w:rPr>
          <w:rStyle w:val="FootnoteReference"/>
          <w:noProof/>
          <w:lang w:eastAsia="fr-FR"/>
        </w:rPr>
        <w:footnoteReference w:id="159"/>
      </w:r>
      <w:r w:rsidRPr="000B326F">
        <w:rPr>
          <w:noProof/>
          <w:lang w:eastAsia="fr-FR"/>
        </w:rPr>
        <w:t>.</w:t>
      </w:r>
      <w:r w:rsidRPr="00EF052F">
        <w:rPr>
          <w:rFonts w:eastAsia="Calibri"/>
          <w:bCs/>
          <w:noProof/>
          <w:lang w:val="en-IE" w:eastAsia="fr-FR"/>
        </w:rPr>
        <w:t xml:space="preserve"> </w:t>
      </w:r>
      <w:r w:rsidRPr="00704060">
        <w:rPr>
          <w:rFonts w:eastAsia="Calibri"/>
          <w:bCs/>
          <w:noProof/>
          <w:lang w:val="en-IE" w:eastAsia="fr-FR"/>
        </w:rPr>
        <w:t>In 202</w:t>
      </w:r>
      <w:r>
        <w:rPr>
          <w:rFonts w:eastAsia="Calibri"/>
          <w:bCs/>
          <w:noProof/>
          <w:lang w:val="en-IE" w:eastAsia="fr-FR"/>
        </w:rPr>
        <w:t>5</w:t>
      </w:r>
      <w:r w:rsidRPr="00704060">
        <w:rPr>
          <w:rFonts w:eastAsia="Calibri"/>
          <w:bCs/>
          <w:noProof/>
          <w:lang w:val="en-IE" w:eastAsia="fr-FR"/>
        </w:rPr>
        <w:t xml:space="preserve">, the Ombudsperson issued </w:t>
      </w:r>
      <w:r w:rsidR="008C7107">
        <w:rPr>
          <w:rFonts w:eastAsia="Calibri"/>
          <w:noProof/>
          <w:lang w:val="en-IE" w:eastAsia="fr-FR"/>
        </w:rPr>
        <w:t>62</w:t>
      </w:r>
      <w:r w:rsidR="008C7107" w:rsidRPr="00704060">
        <w:rPr>
          <w:rFonts w:eastAsia="Calibri"/>
          <w:bCs/>
          <w:noProof/>
          <w:lang w:val="en-IE" w:eastAsia="fr-FR"/>
        </w:rPr>
        <w:t xml:space="preserve"> </w:t>
      </w:r>
      <w:r w:rsidRPr="00704060">
        <w:rPr>
          <w:rFonts w:eastAsia="Calibri"/>
          <w:bCs/>
          <w:noProof/>
          <w:lang w:val="en-IE" w:eastAsia="fr-FR"/>
        </w:rPr>
        <w:t>new recommendations (</w:t>
      </w:r>
      <w:r>
        <w:rPr>
          <w:rFonts w:eastAsia="Calibri"/>
          <w:bCs/>
          <w:noProof/>
          <w:lang w:val="en-IE" w:eastAsia="fr-FR"/>
        </w:rPr>
        <w:t>95</w:t>
      </w:r>
      <w:r w:rsidRPr="00704060">
        <w:rPr>
          <w:rFonts w:eastAsia="Calibri"/>
          <w:bCs/>
          <w:noProof/>
          <w:lang w:val="en-IE" w:eastAsia="fr-FR"/>
        </w:rPr>
        <w:t xml:space="preserve"> in 202</w:t>
      </w:r>
      <w:r>
        <w:rPr>
          <w:rFonts w:eastAsia="Calibri"/>
          <w:bCs/>
          <w:noProof/>
          <w:lang w:val="en-IE" w:eastAsia="fr-FR"/>
        </w:rPr>
        <w:t>4</w:t>
      </w:r>
      <w:r w:rsidRPr="00704060">
        <w:rPr>
          <w:rFonts w:eastAsia="Calibri"/>
          <w:bCs/>
          <w:noProof/>
          <w:lang w:val="en-IE" w:eastAsia="fr-FR"/>
        </w:rPr>
        <w:t>)</w:t>
      </w:r>
      <w:r w:rsidRPr="00704060">
        <w:rPr>
          <w:rFonts w:eastAsia="Calibri"/>
          <w:bCs/>
          <w:noProof/>
          <w:vertAlign w:val="superscript"/>
          <w:lang w:val="en-IE" w:eastAsia="fr-FR"/>
        </w:rPr>
        <w:footnoteReference w:id="160"/>
      </w:r>
      <w:r w:rsidRPr="00704060">
        <w:rPr>
          <w:rFonts w:eastAsia="Calibri"/>
          <w:bCs/>
          <w:noProof/>
          <w:lang w:val="en-IE" w:eastAsia="fr-FR"/>
        </w:rPr>
        <w:t>.</w:t>
      </w:r>
      <w:r>
        <w:rPr>
          <w:rFonts w:eastAsia="Calibri"/>
          <w:bCs/>
          <w:noProof/>
          <w:lang w:val="en-IE" w:eastAsia="fr-FR"/>
        </w:rPr>
        <w:t xml:space="preserve"> </w:t>
      </w:r>
      <w:r w:rsidRPr="00704060">
        <w:rPr>
          <w:rFonts w:eastAsia="Calibri"/>
          <w:bCs/>
          <w:noProof/>
          <w:lang w:val="en-IE" w:eastAsia="fr-FR"/>
        </w:rPr>
        <w:t xml:space="preserve">In addition, the Ombudsperson acting in the capacity of National Prevention Mechanism issued further </w:t>
      </w:r>
      <w:r w:rsidR="00F47121">
        <w:rPr>
          <w:rFonts w:eastAsia="Calibri"/>
          <w:noProof/>
          <w:lang w:val="en-IE" w:eastAsia="fr-FR"/>
        </w:rPr>
        <w:t>329</w:t>
      </w:r>
      <w:r w:rsidR="00F47121" w:rsidRPr="00704060">
        <w:rPr>
          <w:rFonts w:eastAsia="Calibri"/>
          <w:bCs/>
          <w:noProof/>
          <w:lang w:val="en-IE" w:eastAsia="fr-FR"/>
        </w:rPr>
        <w:t xml:space="preserve"> </w:t>
      </w:r>
      <w:r w:rsidRPr="00704060">
        <w:rPr>
          <w:rFonts w:eastAsia="Calibri"/>
          <w:bCs/>
          <w:noProof/>
          <w:lang w:val="en-IE" w:eastAsia="fr-FR"/>
        </w:rPr>
        <w:t>recommendations to various institutions (</w:t>
      </w:r>
      <w:r>
        <w:rPr>
          <w:rFonts w:eastAsia="Calibri"/>
          <w:bCs/>
          <w:noProof/>
          <w:lang w:val="en-IE" w:eastAsia="fr-FR"/>
        </w:rPr>
        <w:t>294</w:t>
      </w:r>
      <w:r w:rsidRPr="00704060">
        <w:rPr>
          <w:rFonts w:eastAsia="Calibri"/>
          <w:bCs/>
          <w:noProof/>
          <w:lang w:val="en-IE" w:eastAsia="fr-FR"/>
        </w:rPr>
        <w:t xml:space="preserve"> in 202</w:t>
      </w:r>
      <w:r>
        <w:rPr>
          <w:rFonts w:eastAsia="Calibri"/>
          <w:bCs/>
          <w:noProof/>
          <w:lang w:val="en-IE" w:eastAsia="fr-FR"/>
        </w:rPr>
        <w:t>4</w:t>
      </w:r>
      <w:r w:rsidRPr="00704060">
        <w:rPr>
          <w:rFonts w:eastAsia="Calibri"/>
          <w:bCs/>
          <w:noProof/>
          <w:lang w:val="en-IE" w:eastAsia="fr-FR"/>
        </w:rPr>
        <w:t>). In 202</w:t>
      </w:r>
      <w:r>
        <w:rPr>
          <w:rFonts w:eastAsia="Calibri"/>
          <w:bCs/>
          <w:noProof/>
          <w:lang w:val="en-IE" w:eastAsia="fr-FR"/>
        </w:rPr>
        <w:t>5</w:t>
      </w:r>
      <w:r w:rsidRPr="00704060">
        <w:rPr>
          <w:rFonts w:eastAsia="Calibri"/>
          <w:bCs/>
          <w:noProof/>
          <w:lang w:val="en-IE" w:eastAsia="fr-FR"/>
        </w:rPr>
        <w:t xml:space="preserve">, the Ombudsperson highlighted approximately </w:t>
      </w:r>
      <w:r w:rsidR="00B21E38">
        <w:rPr>
          <w:rFonts w:eastAsia="Calibri"/>
          <w:noProof/>
          <w:lang w:val="en-IE" w:eastAsia="fr-FR"/>
        </w:rPr>
        <w:t>253</w:t>
      </w:r>
      <w:r w:rsidR="00B21E38" w:rsidRPr="00704060">
        <w:rPr>
          <w:rFonts w:eastAsia="Calibri"/>
          <w:bCs/>
          <w:noProof/>
          <w:lang w:val="en-IE" w:eastAsia="fr-FR"/>
        </w:rPr>
        <w:t xml:space="preserve"> </w:t>
      </w:r>
      <w:r w:rsidRPr="00704060">
        <w:rPr>
          <w:rFonts w:eastAsia="Calibri"/>
          <w:bCs/>
          <w:noProof/>
          <w:lang w:val="en-IE" w:eastAsia="fr-FR"/>
        </w:rPr>
        <w:t>especially relevant past recommendations that remain either unimplemented or partially implemented (</w:t>
      </w:r>
      <w:r>
        <w:rPr>
          <w:rFonts w:eastAsia="Calibri"/>
          <w:bCs/>
          <w:noProof/>
          <w:lang w:val="en-IE" w:eastAsia="fr-FR"/>
        </w:rPr>
        <w:t>100</w:t>
      </w:r>
      <w:r w:rsidRPr="00704060">
        <w:rPr>
          <w:rFonts w:eastAsia="Calibri"/>
          <w:bCs/>
          <w:noProof/>
          <w:lang w:val="en-IE" w:eastAsia="fr-FR"/>
        </w:rPr>
        <w:t xml:space="preserve"> in 202</w:t>
      </w:r>
      <w:r>
        <w:rPr>
          <w:rFonts w:eastAsia="Calibri"/>
          <w:bCs/>
          <w:noProof/>
          <w:lang w:val="en-IE" w:eastAsia="fr-FR"/>
        </w:rPr>
        <w:t>4</w:t>
      </w:r>
      <w:r w:rsidRPr="00704060">
        <w:rPr>
          <w:rFonts w:eastAsia="Calibri"/>
          <w:bCs/>
          <w:noProof/>
          <w:lang w:val="en-IE" w:eastAsia="fr-FR"/>
        </w:rPr>
        <w:t>).</w:t>
      </w:r>
      <w:r w:rsidR="007B70C8">
        <w:rPr>
          <w:rFonts w:eastAsia="Calibri"/>
          <w:bCs/>
          <w:noProof/>
          <w:lang w:val="en-IE" w:eastAsia="fr-FR"/>
        </w:rPr>
        <w:t xml:space="preserve"> </w:t>
      </w:r>
      <w:r w:rsidR="007B70C8" w:rsidRPr="007B70C8">
        <w:rPr>
          <w:rFonts w:eastAsia="Calibri"/>
          <w:bCs/>
          <w:noProof/>
          <w:lang w:val="en-IE" w:eastAsia="fr-FR"/>
        </w:rPr>
        <w:t xml:space="preserve">Of the latter, 139 were under the </w:t>
      </w:r>
      <w:r w:rsidR="007B70C8" w:rsidRPr="00704060">
        <w:rPr>
          <w:rFonts w:eastAsia="Calibri"/>
          <w:bCs/>
          <w:noProof/>
          <w:lang w:val="en-IE" w:eastAsia="fr-FR"/>
        </w:rPr>
        <w:t xml:space="preserve">National Prevention Mechanism </w:t>
      </w:r>
      <w:r w:rsidR="007B70C8" w:rsidRPr="007B70C8">
        <w:rPr>
          <w:rFonts w:eastAsia="Calibri"/>
          <w:bCs/>
          <w:noProof/>
          <w:lang w:val="en-IE" w:eastAsia="fr-FR"/>
        </w:rPr>
        <w:t>(114 beyond)</w:t>
      </w:r>
      <w:r>
        <w:rPr>
          <w:rFonts w:eastAsia="Calibri"/>
          <w:bCs/>
          <w:noProof/>
          <w:lang w:eastAsia="fr-FR"/>
        </w:rPr>
        <w:t xml:space="preserve">. </w:t>
      </w:r>
      <w:r w:rsidRPr="00056D6E">
        <w:rPr>
          <w:rFonts w:eastAsia="Calibri"/>
          <w:bCs/>
          <w:noProof/>
          <w:lang w:eastAsia="fr-FR"/>
        </w:rPr>
        <w:t>In 2025, the Ombuds</w:t>
      </w:r>
      <w:r>
        <w:rPr>
          <w:rFonts w:eastAsia="Calibri"/>
          <w:bCs/>
          <w:noProof/>
          <w:lang w:eastAsia="fr-FR"/>
        </w:rPr>
        <w:t>person</w:t>
      </w:r>
      <w:r w:rsidRPr="00056D6E">
        <w:rPr>
          <w:rFonts w:eastAsia="Calibri"/>
          <w:bCs/>
          <w:noProof/>
          <w:lang w:eastAsia="fr-FR"/>
        </w:rPr>
        <w:t xml:space="preserve"> </w:t>
      </w:r>
      <w:r>
        <w:rPr>
          <w:rFonts w:eastAsia="Calibri"/>
          <w:bCs/>
          <w:noProof/>
          <w:lang w:eastAsia="fr-FR"/>
        </w:rPr>
        <w:t xml:space="preserve">continued to respond to an important number of complaints. It </w:t>
      </w:r>
      <w:r w:rsidRPr="00056D6E">
        <w:rPr>
          <w:rFonts w:eastAsia="Calibri"/>
          <w:bCs/>
          <w:noProof/>
          <w:lang w:eastAsia="fr-FR"/>
        </w:rPr>
        <w:t>handled more than 6</w:t>
      </w:r>
      <w:r>
        <w:rPr>
          <w:rFonts w:eastAsia="Calibri"/>
          <w:bCs/>
          <w:noProof/>
          <w:lang w:eastAsia="fr-FR"/>
        </w:rPr>
        <w:t> </w:t>
      </w:r>
      <w:r w:rsidRPr="00056D6E">
        <w:rPr>
          <w:rFonts w:eastAsia="Calibri"/>
          <w:bCs/>
          <w:noProof/>
          <w:lang w:eastAsia="fr-FR"/>
        </w:rPr>
        <w:t xml:space="preserve">500 cases, representing a </w:t>
      </w:r>
      <w:r>
        <w:rPr>
          <w:rFonts w:eastAsia="Calibri"/>
          <w:bCs/>
          <w:noProof/>
          <w:lang w:eastAsia="fr-FR"/>
        </w:rPr>
        <w:t xml:space="preserve">nearly </w:t>
      </w:r>
      <w:r w:rsidRPr="00056D6E">
        <w:rPr>
          <w:rFonts w:eastAsia="Calibri"/>
          <w:bCs/>
          <w:noProof/>
          <w:lang w:eastAsia="fr-FR"/>
        </w:rPr>
        <w:t>4%</w:t>
      </w:r>
      <w:r>
        <w:rPr>
          <w:rFonts w:eastAsia="Calibri"/>
          <w:bCs/>
          <w:noProof/>
          <w:lang w:eastAsia="fr-FR"/>
        </w:rPr>
        <w:t xml:space="preserve"> </w:t>
      </w:r>
      <w:r w:rsidRPr="00056D6E">
        <w:rPr>
          <w:rFonts w:eastAsia="Calibri"/>
          <w:bCs/>
          <w:noProof/>
          <w:lang w:eastAsia="fr-FR"/>
        </w:rPr>
        <w:t>increase compared to 2024, including 3</w:t>
      </w:r>
      <w:r>
        <w:rPr>
          <w:rFonts w:eastAsia="Calibri"/>
          <w:bCs/>
          <w:noProof/>
          <w:lang w:eastAsia="fr-FR"/>
        </w:rPr>
        <w:t> </w:t>
      </w:r>
      <w:r w:rsidRPr="00056D6E">
        <w:rPr>
          <w:rFonts w:eastAsia="Calibri"/>
          <w:bCs/>
          <w:noProof/>
          <w:lang w:eastAsia="fr-FR"/>
        </w:rPr>
        <w:t>681 individual complaints</w:t>
      </w:r>
      <w:r>
        <w:rPr>
          <w:rStyle w:val="FootnoteReference"/>
          <w:rFonts w:eastAsia="Calibri"/>
          <w:bCs/>
          <w:noProof/>
          <w:lang w:eastAsia="fr-FR"/>
        </w:rPr>
        <w:footnoteReference w:id="161"/>
      </w:r>
      <w:r w:rsidRPr="00056D6E">
        <w:rPr>
          <w:rFonts w:eastAsia="Calibri"/>
          <w:bCs/>
          <w:noProof/>
          <w:lang w:eastAsia="fr-FR"/>
        </w:rPr>
        <w:t>. Among 207 substantiated complaints, the</w:t>
      </w:r>
      <w:r>
        <w:rPr>
          <w:rFonts w:eastAsia="Calibri"/>
          <w:bCs/>
          <w:noProof/>
          <w:lang w:eastAsia="fr-FR"/>
        </w:rPr>
        <w:t xml:space="preserve"> </w:t>
      </w:r>
      <w:r w:rsidRPr="00056D6E">
        <w:rPr>
          <w:rFonts w:eastAsia="Calibri"/>
          <w:bCs/>
          <w:noProof/>
          <w:lang w:eastAsia="fr-FR"/>
        </w:rPr>
        <w:t>Ombuds</w:t>
      </w:r>
      <w:r>
        <w:rPr>
          <w:rFonts w:eastAsia="Calibri"/>
          <w:bCs/>
          <w:noProof/>
          <w:lang w:eastAsia="fr-FR"/>
        </w:rPr>
        <w:t>person</w:t>
      </w:r>
      <w:r w:rsidRPr="00056D6E">
        <w:rPr>
          <w:rFonts w:eastAsia="Calibri"/>
          <w:bCs/>
          <w:noProof/>
          <w:lang w:eastAsia="fr-FR"/>
        </w:rPr>
        <w:t xml:space="preserve"> identified 238 violations of human rights, fundamental freedoms, and other irregularities</w:t>
      </w:r>
      <w:r>
        <w:rPr>
          <w:rStyle w:val="FootnoteReference"/>
          <w:rFonts w:eastAsia="Calibri"/>
          <w:bCs/>
          <w:noProof/>
          <w:lang w:eastAsia="fr-FR"/>
        </w:rPr>
        <w:footnoteReference w:id="162"/>
      </w:r>
      <w:r w:rsidRPr="00056D6E">
        <w:rPr>
          <w:rFonts w:eastAsia="Calibri"/>
          <w:bCs/>
          <w:noProof/>
          <w:lang w:eastAsia="fr-FR"/>
        </w:rPr>
        <w:t xml:space="preserve">. </w:t>
      </w:r>
      <w:r w:rsidRPr="0064447E">
        <w:rPr>
          <w:rFonts w:eastAsia="Calibri"/>
          <w:bCs/>
          <w:noProof/>
          <w:lang w:eastAsia="fr-FR"/>
        </w:rPr>
        <w:t>According to the Ombuds</w:t>
      </w:r>
      <w:r>
        <w:rPr>
          <w:rFonts w:eastAsia="Calibri"/>
          <w:bCs/>
          <w:noProof/>
          <w:lang w:eastAsia="fr-FR"/>
        </w:rPr>
        <w:t>person</w:t>
      </w:r>
      <w:r w:rsidRPr="0064447E">
        <w:rPr>
          <w:rFonts w:eastAsia="Calibri"/>
          <w:bCs/>
          <w:noProof/>
          <w:lang w:eastAsia="fr-FR"/>
        </w:rPr>
        <w:t xml:space="preserve">’s findings, the authority most frequently responsible for violations </w:t>
      </w:r>
      <w:r>
        <w:rPr>
          <w:rFonts w:eastAsia="Calibri"/>
          <w:bCs/>
          <w:noProof/>
          <w:lang w:eastAsia="fr-FR"/>
        </w:rPr>
        <w:t>or</w:t>
      </w:r>
      <w:r w:rsidRPr="0064447E">
        <w:rPr>
          <w:rFonts w:eastAsia="Calibri"/>
          <w:bCs/>
          <w:noProof/>
          <w:lang w:eastAsia="fr-FR"/>
        </w:rPr>
        <w:t xml:space="preserve"> irregularities in 2025 was the Ministry of Labour, Family, Social Affairs and Equal Opportunities, followed by municipalities, </w:t>
      </w:r>
      <w:r>
        <w:rPr>
          <w:rFonts w:eastAsia="Calibri"/>
          <w:bCs/>
          <w:noProof/>
          <w:lang w:eastAsia="fr-FR"/>
        </w:rPr>
        <w:t xml:space="preserve">and </w:t>
      </w:r>
      <w:r w:rsidRPr="0064447E">
        <w:rPr>
          <w:rFonts w:eastAsia="Calibri"/>
          <w:bCs/>
          <w:noProof/>
          <w:lang w:eastAsia="fr-FR"/>
        </w:rPr>
        <w:t>the Ministry of Solidarity-Based future</w:t>
      </w:r>
      <w:r>
        <w:rPr>
          <w:rStyle w:val="FootnoteReference"/>
          <w:rFonts w:eastAsia="Calibri"/>
          <w:bCs/>
          <w:noProof/>
          <w:lang w:eastAsia="fr-FR"/>
        </w:rPr>
        <w:footnoteReference w:id="163"/>
      </w:r>
      <w:r w:rsidRPr="0064447E">
        <w:rPr>
          <w:rFonts w:eastAsia="Calibri"/>
          <w:bCs/>
          <w:noProof/>
          <w:lang w:eastAsia="fr-FR"/>
        </w:rPr>
        <w:t>.</w:t>
      </w:r>
    </w:p>
    <w:p w14:paraId="7F9CE81A" w14:textId="77777777" w:rsidR="001D33E1" w:rsidRPr="00581952" w:rsidRDefault="001D33E1" w:rsidP="001D33E1">
      <w:pPr>
        <w:rPr>
          <w:rFonts w:eastAsia="Calibri"/>
          <w:noProof/>
          <w:szCs w:val="24"/>
          <w14:ligatures w14:val="standardContextual"/>
        </w:rPr>
      </w:pPr>
      <w:r w:rsidRPr="00581952">
        <w:rPr>
          <w:b/>
          <w:bCs/>
          <w:noProof/>
          <w:lang w:eastAsia="fr-FR"/>
        </w:rPr>
        <w:t xml:space="preserve">More than two thirds of companies surveyed in Slovenia express confidence in the effectiveness of investment protection. </w:t>
      </w:r>
      <w:r w:rsidRPr="00581952">
        <w:rPr>
          <w:rFonts w:eastAsia="Aptos"/>
          <w:noProof/>
          <w:kern w:val="2"/>
          <w:szCs w:val="24"/>
          <w:lang w:val="en-IE"/>
          <w14:ligatures w14:val="standardContextual"/>
        </w:rPr>
        <w:t xml:space="preserve">67% of companies are very or fairly confident that investments are protected by law and courts, a figure which has slightly decreased in comparison with 2025 (69%) </w:t>
      </w:r>
      <w:r w:rsidRPr="00581952">
        <w:rPr>
          <w:rFonts w:eastAsia="Aptos"/>
          <w:noProof/>
          <w:kern w:val="2"/>
          <w:szCs w:val="24"/>
          <w:vertAlign w:val="superscript"/>
          <w:lang w:val="en-IE"/>
          <w14:ligatures w14:val="standardContextual"/>
        </w:rPr>
        <w:footnoteReference w:id="164"/>
      </w:r>
      <w:r w:rsidRPr="00581952">
        <w:rPr>
          <w:rFonts w:eastAsia="Aptos"/>
          <w:noProof/>
          <w:kern w:val="2"/>
          <w:szCs w:val="24"/>
          <w:lang w:val="en-IE"/>
          <w14:ligatures w14:val="standardContextual"/>
        </w:rPr>
        <w:t xml:space="preserve">. </w:t>
      </w:r>
      <w:r w:rsidRPr="00581952">
        <w:rPr>
          <w:rFonts w:eastAsia="Calibri"/>
          <w:noProof/>
          <w:szCs w:val="24"/>
        </w:rPr>
        <w:t xml:space="preserve">As regards authorities relevant for economic operators, </w:t>
      </w:r>
      <w:r w:rsidRPr="00581952">
        <w:rPr>
          <w:rFonts w:eastAsia="Aptos"/>
          <w:noProof/>
          <w:kern w:val="2"/>
          <w:szCs w:val="24"/>
          <w:lang w:val="en-IE"/>
          <w14:ligatures w14:val="standardContextual"/>
        </w:rPr>
        <w:t xml:space="preserve">53% of companies perceive the level of independence of the national competition authority (Slovenian Competition Protection Agency) as very or fairly good, a figure which has slightly declined in comparison with 2025 (57%) </w:t>
      </w:r>
      <w:r w:rsidRPr="00581952">
        <w:rPr>
          <w:rFonts w:eastAsia="Aptos"/>
          <w:noProof/>
          <w:kern w:val="2"/>
          <w:szCs w:val="24"/>
          <w:vertAlign w:val="superscript"/>
          <w:lang w:val="en-IE"/>
          <w14:ligatures w14:val="standardContextual"/>
        </w:rPr>
        <w:footnoteReference w:id="165"/>
      </w:r>
      <w:r w:rsidRPr="00581952">
        <w:rPr>
          <w:rFonts w:eastAsia="Aptos"/>
          <w:noProof/>
          <w:kern w:val="2"/>
          <w:szCs w:val="24"/>
          <w:lang w:val="en-IE"/>
          <w14:ligatures w14:val="standardContextual"/>
        </w:rPr>
        <w:t xml:space="preserve">. </w:t>
      </w:r>
      <w:r w:rsidRPr="00581952">
        <w:rPr>
          <w:rFonts w:eastAsia="Calibri"/>
          <w:noProof/>
          <w:szCs w:val="24"/>
          <w14:ligatures w14:val="standardContextual"/>
        </w:rPr>
        <w:t>The Supreme Court has jurisdiction in several business-related cases, including in cases related to public procurement, public concessions, public contracts and economic regulation. A number of judicial mechanisms to improve efficiency are available in these cases, including the possibility to apply interim measures, joint examination of similar cases and the consolidation of multiple appeals</w:t>
      </w:r>
      <w:r w:rsidRPr="00581952">
        <w:rPr>
          <w:rFonts w:eastAsia="Calibri"/>
          <w:noProof/>
          <w:szCs w:val="24"/>
          <w:vertAlign w:val="superscript"/>
          <w14:ligatures w14:val="standardContextual"/>
        </w:rPr>
        <w:footnoteReference w:id="166"/>
      </w:r>
      <w:r w:rsidRPr="00581952">
        <w:rPr>
          <w:rFonts w:eastAsia="Calibri"/>
          <w:noProof/>
          <w:szCs w:val="24"/>
          <w14:ligatures w14:val="standardContextual"/>
        </w:rPr>
        <w:t>.</w:t>
      </w:r>
    </w:p>
    <w:p w14:paraId="41811C31" w14:textId="7192B5A4" w:rsidR="001D33E1" w:rsidRPr="0070440A" w:rsidRDefault="001D33E1" w:rsidP="001D33E1">
      <w:pPr>
        <w:rPr>
          <w:b/>
          <w:bCs/>
          <w:noProof/>
          <w:lang w:val="en-IE"/>
        </w:rPr>
      </w:pPr>
      <w:r w:rsidRPr="0070440A">
        <w:rPr>
          <w:b/>
          <w:bCs/>
          <w:noProof/>
          <w:lang w:val="en-IE"/>
        </w:rPr>
        <w:t xml:space="preserve">On 1 January </w:t>
      </w:r>
      <w:r>
        <w:rPr>
          <w:b/>
          <w:bCs/>
          <w:noProof/>
          <w:lang w:val="en-IE"/>
        </w:rPr>
        <w:t>2026</w:t>
      </w:r>
      <w:r w:rsidRPr="0070440A">
        <w:rPr>
          <w:b/>
          <w:bCs/>
          <w:noProof/>
          <w:lang w:val="en-IE"/>
        </w:rPr>
        <w:t xml:space="preserve">, </w:t>
      </w:r>
      <w:r>
        <w:rPr>
          <w:b/>
          <w:bCs/>
          <w:noProof/>
          <w:lang w:val="en-IE"/>
        </w:rPr>
        <w:t xml:space="preserve">Slovenia </w:t>
      </w:r>
      <w:r w:rsidRPr="0070440A">
        <w:rPr>
          <w:b/>
          <w:bCs/>
          <w:noProof/>
          <w:lang w:val="en-IE"/>
        </w:rPr>
        <w:t xml:space="preserve">had </w:t>
      </w:r>
      <w:r>
        <w:rPr>
          <w:b/>
          <w:bCs/>
          <w:noProof/>
          <w:lang w:val="en-IE"/>
        </w:rPr>
        <w:t xml:space="preserve">five </w:t>
      </w:r>
      <w:r w:rsidRPr="0070440A">
        <w:rPr>
          <w:b/>
          <w:bCs/>
          <w:noProof/>
          <w:lang w:val="en-IE"/>
        </w:rPr>
        <w:t>leading judgments of the European Court of Human Rights pending implementation, a</w:t>
      </w:r>
      <w:r>
        <w:rPr>
          <w:b/>
          <w:bCs/>
          <w:noProof/>
          <w:lang w:val="en-IE"/>
        </w:rPr>
        <w:t>n increase</w:t>
      </w:r>
      <w:r w:rsidRPr="0070440A" w:rsidDel="003462BF">
        <w:rPr>
          <w:b/>
          <w:bCs/>
          <w:noProof/>
          <w:lang w:val="en-IE"/>
        </w:rPr>
        <w:t xml:space="preserve"> </w:t>
      </w:r>
      <w:r w:rsidRPr="0070440A">
        <w:rPr>
          <w:b/>
          <w:bCs/>
          <w:noProof/>
          <w:lang w:val="en-IE"/>
        </w:rPr>
        <w:t xml:space="preserve">of </w:t>
      </w:r>
      <w:r>
        <w:rPr>
          <w:b/>
          <w:bCs/>
          <w:noProof/>
          <w:lang w:val="en-IE"/>
        </w:rPr>
        <w:t>one</w:t>
      </w:r>
      <w:r w:rsidRPr="0070440A">
        <w:rPr>
          <w:b/>
          <w:bCs/>
          <w:noProof/>
          <w:lang w:val="en-IE"/>
        </w:rPr>
        <w:t xml:space="preserve"> compared to the previous year</w:t>
      </w:r>
      <w:r w:rsidRPr="0070440A">
        <w:rPr>
          <w:rStyle w:val="FootnoteReference"/>
          <w:b/>
          <w:bCs/>
          <w:noProof/>
        </w:rPr>
        <w:footnoteReference w:id="167"/>
      </w:r>
      <w:r w:rsidRPr="0070440A">
        <w:rPr>
          <w:b/>
          <w:bCs/>
          <w:noProof/>
          <w:lang w:val="en-IE"/>
        </w:rPr>
        <w:t xml:space="preserve">. </w:t>
      </w:r>
      <w:r w:rsidRPr="0070440A">
        <w:rPr>
          <w:noProof/>
          <w:lang w:val="en-IE"/>
        </w:rPr>
        <w:t xml:space="preserve">At that time, </w:t>
      </w:r>
      <w:r>
        <w:rPr>
          <w:noProof/>
          <w:lang w:val="en-IE"/>
        </w:rPr>
        <w:t>Slovenia’s</w:t>
      </w:r>
      <w:r w:rsidRPr="0070440A">
        <w:rPr>
          <w:noProof/>
          <w:lang w:val="en-IE"/>
        </w:rPr>
        <w:t xml:space="preserve"> rate of leading judgments from the past </w:t>
      </w:r>
      <w:r w:rsidRPr="0070440A" w:rsidDel="00A11C90">
        <w:rPr>
          <w:noProof/>
          <w:lang w:val="en-IE"/>
        </w:rPr>
        <w:t>10</w:t>
      </w:r>
      <w:r w:rsidRPr="0070440A">
        <w:rPr>
          <w:noProof/>
          <w:lang w:val="en-IE"/>
        </w:rPr>
        <w:t xml:space="preserve"> years </w:t>
      </w:r>
      <w:r w:rsidRPr="008D256B">
        <w:rPr>
          <w:noProof/>
          <w:lang w:val="en-IE"/>
        </w:rPr>
        <w:t>that had been implemented was at</w:t>
      </w:r>
      <w:r w:rsidRPr="008D256B" w:rsidDel="00953484">
        <w:rPr>
          <w:noProof/>
          <w:lang w:val="en-IE"/>
        </w:rPr>
        <w:t xml:space="preserve"> </w:t>
      </w:r>
      <w:r>
        <w:rPr>
          <w:noProof/>
          <w:lang w:val="en-IE"/>
        </w:rPr>
        <w:t>85</w:t>
      </w:r>
      <w:r w:rsidRPr="008D256B">
        <w:rPr>
          <w:noProof/>
          <w:lang w:val="en-IE"/>
        </w:rPr>
        <w:t>%</w:t>
      </w:r>
      <w:r w:rsidRPr="0070440A">
        <w:rPr>
          <w:noProof/>
          <w:lang w:val="en-IE"/>
        </w:rPr>
        <w:t xml:space="preserve"> (compared to </w:t>
      </w:r>
      <w:r>
        <w:rPr>
          <w:noProof/>
          <w:lang w:val="en-IE"/>
        </w:rPr>
        <w:t>88</w:t>
      </w:r>
      <w:r w:rsidRPr="008D256B">
        <w:rPr>
          <w:noProof/>
          <w:lang w:val="en-IE"/>
        </w:rPr>
        <w:t>%</w:t>
      </w:r>
      <w:r w:rsidRPr="0070440A">
        <w:rPr>
          <w:noProof/>
          <w:lang w:val="en-IE"/>
        </w:rPr>
        <w:t xml:space="preserve"> in </w:t>
      </w:r>
      <w:r w:rsidRPr="008D256B">
        <w:rPr>
          <w:noProof/>
          <w:lang w:val="en-IE"/>
        </w:rPr>
        <w:t xml:space="preserve">2025; </w:t>
      </w:r>
      <w:r>
        <w:rPr>
          <w:noProof/>
          <w:lang w:val="en-IE"/>
        </w:rPr>
        <w:t>15</w:t>
      </w:r>
      <w:r w:rsidRPr="008D256B">
        <w:rPr>
          <w:noProof/>
          <w:lang w:val="en-IE"/>
        </w:rPr>
        <w:t>% remained pending</w:t>
      </w:r>
      <w:r w:rsidRPr="0070440A">
        <w:rPr>
          <w:noProof/>
          <w:lang w:val="en-IE"/>
        </w:rPr>
        <w:t xml:space="preserve">), </w:t>
      </w:r>
      <w:r w:rsidRPr="007A060D">
        <w:rPr>
          <w:noProof/>
        </w:rPr>
        <w:t xml:space="preserve">and the average time that the judgments had been pending implementation was </w:t>
      </w:r>
      <w:r>
        <w:rPr>
          <w:noProof/>
        </w:rPr>
        <w:t>two</w:t>
      </w:r>
      <w:r w:rsidRPr="008D256B">
        <w:rPr>
          <w:noProof/>
        </w:rPr>
        <w:t xml:space="preserve"> year</w:t>
      </w:r>
      <w:r>
        <w:rPr>
          <w:noProof/>
        </w:rPr>
        <w:t>s</w:t>
      </w:r>
      <w:r w:rsidRPr="007A060D">
        <w:rPr>
          <w:noProof/>
        </w:rPr>
        <w:t xml:space="preserve"> (compared to </w:t>
      </w:r>
      <w:r>
        <w:rPr>
          <w:noProof/>
        </w:rPr>
        <w:t>one</w:t>
      </w:r>
      <w:r w:rsidRPr="007A060D">
        <w:rPr>
          <w:noProof/>
        </w:rPr>
        <w:t xml:space="preserve"> year and </w:t>
      </w:r>
      <w:r>
        <w:rPr>
          <w:noProof/>
        </w:rPr>
        <w:t xml:space="preserve">seven </w:t>
      </w:r>
      <w:r w:rsidRPr="007A060D">
        <w:rPr>
          <w:noProof/>
        </w:rPr>
        <w:t>months in 202</w:t>
      </w:r>
      <w:r>
        <w:rPr>
          <w:noProof/>
        </w:rPr>
        <w:t>5</w:t>
      </w:r>
      <w:r w:rsidRPr="007A060D">
        <w:rPr>
          <w:noProof/>
        </w:rPr>
        <w:t>)</w:t>
      </w:r>
      <w:r w:rsidRPr="007A060D">
        <w:rPr>
          <w:rStyle w:val="FootnoteReference"/>
          <w:noProof/>
        </w:rPr>
        <w:footnoteReference w:id="168"/>
      </w:r>
      <w:r w:rsidRPr="007A060D">
        <w:rPr>
          <w:noProof/>
        </w:rPr>
        <w:t xml:space="preserve">. The oldest leading judgment, pending implementation for </w:t>
      </w:r>
      <w:r>
        <w:rPr>
          <w:noProof/>
        </w:rPr>
        <w:t>more than four</w:t>
      </w:r>
      <w:r w:rsidRPr="007A060D" w:rsidDel="00BD26FE">
        <w:rPr>
          <w:noProof/>
        </w:rPr>
        <w:t xml:space="preserve"> </w:t>
      </w:r>
      <w:r w:rsidRPr="007A060D">
        <w:rPr>
          <w:noProof/>
        </w:rPr>
        <w:t>years, concerns the authorities’ failure to introduce remedies that would provide the applicants with a reasonable opportunity to challenge the Bank of Slovenia’s 2013-201</w:t>
      </w:r>
      <w:r w:rsidRPr="007A060D" w:rsidDel="00BD26FE">
        <w:rPr>
          <w:noProof/>
        </w:rPr>
        <w:t xml:space="preserve">4 </w:t>
      </w:r>
      <w:r w:rsidRPr="007A060D">
        <w:rPr>
          <w:noProof/>
        </w:rPr>
        <w:t>decisions</w:t>
      </w:r>
      <w:r w:rsidRPr="007A060D">
        <w:rPr>
          <w:rStyle w:val="FootnoteReference"/>
          <w:noProof/>
        </w:rPr>
        <w:footnoteReference w:id="169"/>
      </w:r>
      <w:r w:rsidRPr="007A060D">
        <w:rPr>
          <w:noProof/>
        </w:rPr>
        <w:t>.</w:t>
      </w:r>
      <w:r w:rsidRPr="0070440A">
        <w:rPr>
          <w:b/>
          <w:bCs/>
          <w:noProof/>
          <w:lang w:val="en-IE"/>
        </w:rPr>
        <w:t xml:space="preserve"> </w:t>
      </w:r>
      <w:r w:rsidRPr="00F90AF7">
        <w:rPr>
          <w:noProof/>
          <w:lang w:val="en-IE"/>
        </w:rPr>
        <w:t>As regards the respect of payment deadlines, on 31 December 2025 there were no cases in total awaiting confirmation of payments (same as in 2024)</w:t>
      </w:r>
      <w:r w:rsidRPr="0070440A">
        <w:rPr>
          <w:rStyle w:val="FootnoteReference"/>
          <w:noProof/>
        </w:rPr>
        <w:footnoteReference w:id="170"/>
      </w:r>
      <w:r w:rsidRPr="0070440A">
        <w:rPr>
          <w:noProof/>
          <w:lang w:val="en-IE"/>
        </w:rPr>
        <w:t>.</w:t>
      </w:r>
      <w:r w:rsidRPr="0070440A">
        <w:rPr>
          <w:b/>
          <w:bCs/>
          <w:noProof/>
          <w:lang w:val="en-IE"/>
        </w:rPr>
        <w:t xml:space="preserve"> </w:t>
      </w:r>
      <w:r>
        <w:rPr>
          <w:noProof/>
          <w:lang w:val="en-IE"/>
        </w:rPr>
        <w:t>By</w:t>
      </w:r>
      <w:r w:rsidRPr="0070440A">
        <w:rPr>
          <w:noProof/>
          <w:lang w:val="en-IE"/>
        </w:rPr>
        <w:t xml:space="preserve"> </w:t>
      </w:r>
      <w:r w:rsidR="00B41DAD">
        <w:rPr>
          <w:noProof/>
          <w:lang w:val="en-IE"/>
        </w:rPr>
        <w:t>17</w:t>
      </w:r>
      <w:r>
        <w:rPr>
          <w:noProof/>
          <w:lang w:val="en-IE"/>
        </w:rPr>
        <w:t xml:space="preserve"> June</w:t>
      </w:r>
      <w:r w:rsidRPr="0070440A">
        <w:rPr>
          <w:noProof/>
          <w:lang w:val="en-IE"/>
        </w:rPr>
        <w:t xml:space="preserve"> </w:t>
      </w:r>
      <w:r>
        <w:rPr>
          <w:noProof/>
          <w:lang w:val="en-IE"/>
        </w:rPr>
        <w:t>2026</w:t>
      </w:r>
      <w:r w:rsidRPr="0070440A">
        <w:rPr>
          <w:noProof/>
          <w:lang w:val="en-IE"/>
        </w:rPr>
        <w:t xml:space="preserve">, the number of leading judgments pending implementation </w:t>
      </w:r>
      <w:r>
        <w:rPr>
          <w:noProof/>
          <w:lang w:val="en-IE"/>
        </w:rPr>
        <w:t xml:space="preserve">increased to </w:t>
      </w:r>
      <w:r w:rsidR="00630BE6">
        <w:rPr>
          <w:noProof/>
          <w:lang w:val="en-IE"/>
        </w:rPr>
        <w:t>six</w:t>
      </w:r>
      <w:r w:rsidRPr="0070440A">
        <w:rPr>
          <w:rStyle w:val="FootnoteReference"/>
          <w:noProof/>
        </w:rPr>
        <w:footnoteReference w:id="171"/>
      </w:r>
      <w:r w:rsidRPr="0070440A">
        <w:rPr>
          <w:noProof/>
          <w:lang w:val="en-IE"/>
        </w:rPr>
        <w:t>.</w:t>
      </w:r>
      <w:r w:rsidRPr="0070440A">
        <w:rPr>
          <w:b/>
          <w:bCs/>
          <w:noProof/>
          <w:lang w:val="en-IE"/>
        </w:rPr>
        <w:t xml:space="preserve"> </w:t>
      </w:r>
    </w:p>
    <w:p w14:paraId="11234943" w14:textId="3DBFB2E8" w:rsidR="001D33E1" w:rsidRPr="00230D53" w:rsidRDefault="001D33E1" w:rsidP="001D33E1">
      <w:pPr>
        <w:rPr>
          <w:noProof/>
          <w:lang w:eastAsia="fr-FR"/>
        </w:rPr>
      </w:pPr>
      <w:r w:rsidRPr="00230D53">
        <w:rPr>
          <w:b/>
          <w:noProof/>
          <w:lang w:eastAsia="fr-FR"/>
        </w:rPr>
        <w:t>The environment for civil society organisations remained favourable and the</w:t>
      </w:r>
      <w:r w:rsidR="00206E4C">
        <w:rPr>
          <w:b/>
          <w:noProof/>
          <w:lang w:eastAsia="fr-FR"/>
        </w:rPr>
        <w:t xml:space="preserve"> former</w:t>
      </w:r>
      <w:r w:rsidRPr="00230D53">
        <w:rPr>
          <w:b/>
          <w:noProof/>
          <w:lang w:eastAsia="fr-FR"/>
        </w:rPr>
        <w:t xml:space="preserve"> Government adopted two framework strategies in this area. </w:t>
      </w:r>
      <w:r w:rsidRPr="00230D53">
        <w:rPr>
          <w:noProof/>
          <w:lang w:eastAsia="fr-FR"/>
        </w:rPr>
        <w:t>The civic space in Slovenia remains</w:t>
      </w:r>
      <w:r>
        <w:rPr>
          <w:noProof/>
          <w:lang w:eastAsia="fr-FR"/>
        </w:rPr>
        <w:t xml:space="preserve"> </w:t>
      </w:r>
      <w:r w:rsidRPr="00230D53">
        <w:rPr>
          <w:noProof/>
          <w:lang w:eastAsia="fr-FR"/>
        </w:rPr>
        <w:t>‘open’</w:t>
      </w:r>
      <w:r>
        <w:rPr>
          <w:noProof/>
          <w:lang w:eastAsia="fr-FR"/>
        </w:rPr>
        <w:t xml:space="preserve"> according to Civicus</w:t>
      </w:r>
      <w:r w:rsidRPr="00230D53">
        <w:rPr>
          <w:rStyle w:val="FootnoteReference"/>
          <w:noProof/>
          <w:lang w:eastAsia="fr-FR"/>
        </w:rPr>
        <w:footnoteReference w:id="172"/>
      </w:r>
      <w:r w:rsidRPr="00230D53">
        <w:rPr>
          <w:noProof/>
          <w:lang w:eastAsia="fr-FR"/>
        </w:rPr>
        <w:t xml:space="preserve">. </w:t>
      </w:r>
      <w:r w:rsidRPr="00230D53">
        <w:rPr>
          <w:bCs/>
          <w:noProof/>
          <w:lang w:eastAsia="fr-FR"/>
        </w:rPr>
        <w:t>In</w:t>
      </w:r>
      <w:r w:rsidRPr="00230D53">
        <w:rPr>
          <w:noProof/>
          <w:lang w:eastAsia="fr-FR"/>
        </w:rPr>
        <w:t xml:space="preserve"> December 2025, the </w:t>
      </w:r>
      <w:r w:rsidR="007C5F09">
        <w:rPr>
          <w:noProof/>
          <w:lang w:eastAsia="fr-FR"/>
        </w:rPr>
        <w:t xml:space="preserve">former </w:t>
      </w:r>
      <w:r w:rsidRPr="00230D53">
        <w:rPr>
          <w:noProof/>
          <w:lang w:eastAsia="fr-FR"/>
        </w:rPr>
        <w:t xml:space="preserve">Government adopted a new Strategy of the Development of </w:t>
      </w:r>
      <w:r>
        <w:rPr>
          <w:bCs/>
          <w:noProof/>
          <w:lang w:eastAsia="fr-FR"/>
        </w:rPr>
        <w:t>Civil-Society</w:t>
      </w:r>
      <w:r w:rsidRPr="00230D53">
        <w:rPr>
          <w:bCs/>
          <w:noProof/>
          <w:lang w:eastAsia="fr-FR"/>
        </w:rPr>
        <w:t xml:space="preserve"> </w:t>
      </w:r>
      <w:r>
        <w:rPr>
          <w:bCs/>
          <w:noProof/>
          <w:lang w:eastAsia="fr-FR"/>
        </w:rPr>
        <w:t>Organisations</w:t>
      </w:r>
      <w:r w:rsidRPr="00230D53">
        <w:rPr>
          <w:noProof/>
          <w:lang w:eastAsia="fr-FR"/>
        </w:rPr>
        <w:t xml:space="preserve"> (</w:t>
      </w:r>
      <w:r>
        <w:rPr>
          <w:bCs/>
          <w:noProof/>
          <w:lang w:eastAsia="fr-FR"/>
        </w:rPr>
        <w:t>CS</w:t>
      </w:r>
      <w:r w:rsidRPr="00230D53">
        <w:rPr>
          <w:bCs/>
          <w:noProof/>
          <w:lang w:eastAsia="fr-FR"/>
        </w:rPr>
        <w:t>Os</w:t>
      </w:r>
      <w:r w:rsidRPr="00230D53">
        <w:rPr>
          <w:noProof/>
          <w:lang w:eastAsia="fr-FR"/>
        </w:rPr>
        <w:t>) until 2030 and a Volunteering Development Strategy until 2030, as a continuation of the previous joint strategy until 2023, which was welcomed by civil society organisations (CSOs)</w:t>
      </w:r>
      <w:r w:rsidRPr="00230D53">
        <w:rPr>
          <w:rStyle w:val="FootnoteReference"/>
          <w:noProof/>
          <w:lang w:eastAsia="fr-FR"/>
        </w:rPr>
        <w:footnoteReference w:id="173"/>
      </w:r>
      <w:r w:rsidRPr="00230D53">
        <w:rPr>
          <w:noProof/>
          <w:lang w:eastAsia="fr-FR"/>
        </w:rPr>
        <w:t xml:space="preserve">. </w:t>
      </w:r>
      <w:r w:rsidRPr="00230D53">
        <w:rPr>
          <w:bCs/>
          <w:noProof/>
          <w:lang w:eastAsia="fr-FR"/>
        </w:rPr>
        <w:t xml:space="preserve">The </w:t>
      </w:r>
      <w:r>
        <w:rPr>
          <w:bCs/>
          <w:noProof/>
          <w:lang w:eastAsia="fr-FR"/>
        </w:rPr>
        <w:t xml:space="preserve">main </w:t>
      </w:r>
      <w:r w:rsidRPr="00230D53">
        <w:rPr>
          <w:noProof/>
          <w:lang w:eastAsia="fr-FR"/>
        </w:rPr>
        <w:t xml:space="preserve">aims </w:t>
      </w:r>
      <w:r>
        <w:rPr>
          <w:bCs/>
          <w:noProof/>
          <w:lang w:eastAsia="fr-FR"/>
        </w:rPr>
        <w:t xml:space="preserve">of the two strategies are </w:t>
      </w:r>
      <w:r w:rsidRPr="00230D53">
        <w:rPr>
          <w:bCs/>
          <w:noProof/>
          <w:lang w:eastAsia="fr-FR"/>
        </w:rPr>
        <w:t xml:space="preserve">to </w:t>
      </w:r>
      <w:r w:rsidRPr="00230D53">
        <w:rPr>
          <w:noProof/>
          <w:lang w:eastAsia="fr-FR"/>
        </w:rPr>
        <w:t xml:space="preserve">strengthen cooperation </w:t>
      </w:r>
      <w:r>
        <w:rPr>
          <w:noProof/>
          <w:lang w:eastAsia="fr-FR"/>
        </w:rPr>
        <w:t>with CSOs throughout the legislative process and the implementation of legislation</w:t>
      </w:r>
      <w:r>
        <w:rPr>
          <w:bCs/>
          <w:noProof/>
          <w:lang w:eastAsia="fr-FR"/>
        </w:rPr>
        <w:t>,</w:t>
      </w:r>
      <w:r w:rsidRPr="00230D53">
        <w:rPr>
          <w:noProof/>
          <w:lang w:eastAsia="fr-FR"/>
        </w:rPr>
        <w:t xml:space="preserve"> strengthen the transparency and stability of public funding of </w:t>
      </w:r>
      <w:r>
        <w:rPr>
          <w:bCs/>
          <w:noProof/>
          <w:lang w:eastAsia="fr-FR"/>
        </w:rPr>
        <w:t>CS</w:t>
      </w:r>
      <w:r w:rsidRPr="00230D53">
        <w:rPr>
          <w:bCs/>
          <w:noProof/>
          <w:lang w:eastAsia="fr-FR"/>
        </w:rPr>
        <w:t>Os</w:t>
      </w:r>
      <w:r>
        <w:rPr>
          <w:bCs/>
          <w:noProof/>
          <w:lang w:eastAsia="fr-FR"/>
        </w:rPr>
        <w:t>,</w:t>
      </w:r>
      <w:r w:rsidRPr="00230D53">
        <w:rPr>
          <w:noProof/>
          <w:lang w:eastAsia="fr-FR"/>
        </w:rPr>
        <w:t xml:space="preserve"> create a stable and sustainable environment for the operations of volunteer organisations</w:t>
      </w:r>
      <w:r w:rsidRPr="00230D53">
        <w:rPr>
          <w:bCs/>
          <w:noProof/>
          <w:lang w:eastAsia="fr-FR"/>
        </w:rPr>
        <w:t xml:space="preserve">; and </w:t>
      </w:r>
      <w:r w:rsidRPr="00230D53">
        <w:rPr>
          <w:noProof/>
          <w:lang w:eastAsia="fr-FR"/>
        </w:rPr>
        <w:t>increase the number of volunteers. According to the CSOs, the civic space continues to be supported by a comparatively strong legal framework guaranteeing freedom of association and participation</w:t>
      </w:r>
      <w:r w:rsidRPr="00230D53">
        <w:rPr>
          <w:rStyle w:val="FootnoteReference"/>
          <w:noProof/>
          <w:lang w:eastAsia="fr-FR"/>
        </w:rPr>
        <w:footnoteReference w:id="174"/>
      </w:r>
      <w:r w:rsidRPr="00230D53">
        <w:rPr>
          <w:noProof/>
          <w:lang w:eastAsia="fr-FR"/>
        </w:rPr>
        <w:t xml:space="preserve">. </w:t>
      </w:r>
      <w:r w:rsidRPr="00230D53">
        <w:rPr>
          <w:bCs/>
          <w:noProof/>
          <w:lang w:eastAsia="fr-FR"/>
        </w:rPr>
        <w:t>At</w:t>
      </w:r>
      <w:r w:rsidRPr="00230D53">
        <w:rPr>
          <w:noProof/>
          <w:lang w:eastAsia="fr-FR"/>
        </w:rPr>
        <w:t xml:space="preserve"> the same time, CSOs reported that during 2025 the political discourse surrounding civil society has grown more polarised and included more frequent direct confrontations</w:t>
      </w:r>
      <w:r>
        <w:rPr>
          <w:bCs/>
          <w:noProof/>
          <w:lang w:eastAsia="fr-FR"/>
        </w:rPr>
        <w:t xml:space="preserve"> or targeted verbal attacks</w:t>
      </w:r>
      <w:r w:rsidRPr="00230D53">
        <w:rPr>
          <w:rStyle w:val="FootnoteReference"/>
          <w:bCs/>
          <w:noProof/>
          <w:lang w:eastAsia="fr-FR"/>
        </w:rPr>
        <w:footnoteReference w:id="175"/>
      </w:r>
      <w:r w:rsidRPr="00230D53">
        <w:rPr>
          <w:bCs/>
          <w:noProof/>
          <w:lang w:eastAsia="fr-FR"/>
        </w:rPr>
        <w:t xml:space="preserve">. </w:t>
      </w:r>
    </w:p>
    <w:p w14:paraId="11BE516E" w14:textId="77777777" w:rsidR="001D33E1" w:rsidRPr="00230D53" w:rsidRDefault="001D33E1" w:rsidP="001D33E1">
      <w:pPr>
        <w:rPr>
          <w:noProof/>
          <w:lang w:eastAsia="fr-FR"/>
        </w:rPr>
      </w:pPr>
    </w:p>
    <w:p w14:paraId="4D46A461" w14:textId="77777777" w:rsidR="001D33E1" w:rsidRPr="00230D53" w:rsidRDefault="001D33E1" w:rsidP="001D33E1">
      <w:pPr>
        <w:rPr>
          <w:noProof/>
          <w:lang w:eastAsia="fr-FR"/>
        </w:rPr>
      </w:pPr>
    </w:p>
    <w:p w14:paraId="2A1CF8A7" w14:textId="77777777" w:rsidR="001D33E1" w:rsidRPr="00230D53" w:rsidRDefault="001D33E1" w:rsidP="001D33E1">
      <w:pPr>
        <w:pageBreakBefore/>
        <w:spacing w:after="120" w:line="264" w:lineRule="auto"/>
        <w:rPr>
          <w:b/>
          <w:noProof/>
          <w:lang w:eastAsia="en-GB"/>
        </w:rPr>
      </w:pPr>
      <w:r w:rsidRPr="00230D53">
        <w:rPr>
          <w:b/>
          <w:noProof/>
          <w:lang w:eastAsia="en-GB"/>
        </w:rPr>
        <w:t>Annex I: List of sources in alphabetical order*</w:t>
      </w:r>
    </w:p>
    <w:p w14:paraId="347BE939" w14:textId="2FEEC46C" w:rsidR="001D33E1" w:rsidRPr="00230D53" w:rsidRDefault="001D33E1" w:rsidP="001D33E1">
      <w:pPr>
        <w:spacing w:after="120"/>
        <w:rPr>
          <w:i/>
          <w:noProof/>
          <w:sz w:val="22"/>
          <w:lang w:eastAsia="en-GB"/>
        </w:rPr>
      </w:pPr>
      <w:r w:rsidRPr="00230D53">
        <w:rPr>
          <w:i/>
          <w:noProof/>
          <w:sz w:val="22"/>
          <w:lang w:eastAsia="en-GB"/>
        </w:rPr>
        <w:t>* The list of contributions received in the context of the consultation for the 2026 Rule of Law Report can be found at</w:t>
      </w:r>
      <w:r w:rsidR="00E92FF8" w:rsidRPr="00E92FF8">
        <w:rPr>
          <w:i/>
          <w:noProof/>
          <w:sz w:val="22"/>
          <w:szCs w:val="22"/>
          <w:lang w:val="en-US" w:eastAsia="en-GB"/>
        </w:rPr>
        <w:t xml:space="preserve"> </w:t>
      </w:r>
      <w:hyperlink r:id="rId22" w:history="1">
        <w:r w:rsidR="00E92FF8" w:rsidRPr="009C1946">
          <w:rPr>
            <w:rStyle w:val="Hyperlink"/>
            <w:i/>
            <w:noProof/>
            <w:sz w:val="22"/>
            <w:szCs w:val="22"/>
            <w:lang w:val="en-US" w:eastAsia="en-GB"/>
          </w:rPr>
          <w:t>https://commission.europa.eu/publications/2026-rule-law-report-targeted-stakeholder-consultation_en</w:t>
        </w:r>
      </w:hyperlink>
      <w:r w:rsidRPr="00230D53">
        <w:rPr>
          <w:i/>
          <w:noProof/>
          <w:sz w:val="22"/>
          <w:lang w:eastAsia="en-GB"/>
        </w:rPr>
        <w:t>.</w:t>
      </w:r>
    </w:p>
    <w:p w14:paraId="21AA5F23" w14:textId="77777777" w:rsidR="00E12C79" w:rsidRPr="00C0165A" w:rsidRDefault="00E12C79" w:rsidP="001D33E1">
      <w:pPr>
        <w:spacing w:after="120"/>
        <w:rPr>
          <w:noProof/>
          <w:sz w:val="22"/>
        </w:rPr>
      </w:pPr>
      <w:r w:rsidRPr="00C0165A">
        <w:rPr>
          <w:noProof/>
          <w:sz w:val="22"/>
        </w:rPr>
        <w:t>Administrative Court (2024), judgment of 22 October 2024, U-I-2199-2024-22.</w:t>
      </w:r>
    </w:p>
    <w:p w14:paraId="20109064" w14:textId="77777777" w:rsidR="00E12C79" w:rsidRPr="00C0165A" w:rsidRDefault="00E12C79" w:rsidP="001D33E1">
      <w:pPr>
        <w:spacing w:after="120"/>
        <w:rPr>
          <w:noProof/>
          <w:sz w:val="22"/>
        </w:rPr>
      </w:pPr>
      <w:r w:rsidRPr="00C0165A">
        <w:rPr>
          <w:noProof/>
          <w:sz w:val="22"/>
        </w:rPr>
        <w:t xml:space="preserve">Association of Journalists (2025), </w:t>
      </w:r>
      <w:r w:rsidRPr="00C0165A">
        <w:rPr>
          <w:i/>
          <w:noProof/>
          <w:sz w:val="22"/>
        </w:rPr>
        <w:t>Access to public data is not a privilege, it is the foundation of democracy</w:t>
      </w:r>
      <w:r w:rsidRPr="00C0165A">
        <w:rPr>
          <w:noProof/>
          <w:sz w:val="22"/>
        </w:rPr>
        <w:t xml:space="preserve">, 26 September 2025 </w:t>
      </w:r>
      <w:hyperlink r:id="rId23" w:history="1">
        <w:r w:rsidRPr="00C0165A">
          <w:rPr>
            <w:rStyle w:val="Hyperlink"/>
            <w:noProof/>
            <w:sz w:val="22"/>
          </w:rPr>
          <w:t>https://novinar.com/novica/dostop-javnih-podatkov-ni-privilegij-je-temelj-demokracije/</w:t>
        </w:r>
      </w:hyperlink>
      <w:r w:rsidRPr="00C0165A">
        <w:rPr>
          <w:noProof/>
          <w:sz w:val="22"/>
        </w:rPr>
        <w:t xml:space="preserve">. </w:t>
      </w:r>
    </w:p>
    <w:p w14:paraId="36801B87" w14:textId="77777777" w:rsidR="00E12C79" w:rsidRPr="00C0165A" w:rsidRDefault="00E12C79" w:rsidP="001D33E1">
      <w:pPr>
        <w:spacing w:after="120"/>
        <w:rPr>
          <w:noProof/>
          <w:sz w:val="22"/>
        </w:rPr>
      </w:pPr>
      <w:r w:rsidRPr="00C0165A">
        <w:rPr>
          <w:noProof/>
          <w:sz w:val="22"/>
        </w:rPr>
        <w:t>Bar Association (2026), additional written input.</w:t>
      </w:r>
    </w:p>
    <w:p w14:paraId="6BACE3A8" w14:textId="77777777" w:rsidR="00E12C79" w:rsidRPr="00C0165A" w:rsidRDefault="00E12C79" w:rsidP="001D33E1">
      <w:pPr>
        <w:pStyle w:val="FootnoteText"/>
        <w:ind w:left="0" w:firstLine="0"/>
        <w:rPr>
          <w:noProof/>
          <w:sz w:val="22"/>
          <w:szCs w:val="22"/>
          <w:lang w:eastAsia="fr-FR"/>
        </w:rPr>
      </w:pPr>
      <w:r w:rsidRPr="00C0165A">
        <w:rPr>
          <w:noProof/>
          <w:sz w:val="22"/>
          <w:szCs w:val="22"/>
          <w:lang w:eastAsia="fr-FR"/>
        </w:rPr>
        <w:t xml:space="preserve">Cabinet of the Prime Minister (2026), </w:t>
      </w:r>
      <w:r w:rsidRPr="00C0165A">
        <w:rPr>
          <w:i/>
          <w:iCs/>
          <w:noProof/>
          <w:sz w:val="22"/>
          <w:szCs w:val="22"/>
          <w:lang w:eastAsia="fr-FR"/>
        </w:rPr>
        <w:t>Reaction of the Prime Minister's Office to the public letter of the President of the Commission for the Prevention of Corruption</w:t>
      </w:r>
      <w:r w:rsidRPr="00C0165A">
        <w:rPr>
          <w:noProof/>
          <w:sz w:val="22"/>
          <w:szCs w:val="22"/>
          <w:lang w:eastAsia="fr-FR"/>
        </w:rPr>
        <w:t xml:space="preserve">, 9 October 2025 </w:t>
      </w:r>
      <w:hyperlink r:id="rId24" w:history="1">
        <w:r w:rsidRPr="00C0165A">
          <w:rPr>
            <w:rStyle w:val="Hyperlink"/>
            <w:noProof/>
            <w:sz w:val="22"/>
            <w:szCs w:val="22"/>
            <w:lang w:eastAsia="fr-FR"/>
          </w:rPr>
          <w:t>https://www.gov.si/novice/2025-10-09-odziv-kabineta-predsednika-vlade-na-javno-pismo-predsednika-komisije-za-preprecevanje-korupcije/</w:t>
        </w:r>
      </w:hyperlink>
      <w:r w:rsidRPr="00C0165A">
        <w:rPr>
          <w:noProof/>
          <w:sz w:val="22"/>
          <w:szCs w:val="22"/>
          <w:lang w:eastAsia="fr-FR"/>
        </w:rPr>
        <w:t xml:space="preserve">. </w:t>
      </w:r>
    </w:p>
    <w:p w14:paraId="62A68729" w14:textId="77777777" w:rsidR="00E12C79" w:rsidRPr="00C0165A" w:rsidRDefault="00E12C79" w:rsidP="001D33E1">
      <w:pPr>
        <w:spacing w:after="120"/>
        <w:rPr>
          <w:noProof/>
          <w:sz w:val="22"/>
          <w:lang w:eastAsia="fr-FR"/>
        </w:rPr>
      </w:pPr>
      <w:r w:rsidRPr="00C0165A">
        <w:rPr>
          <w:noProof/>
          <w:sz w:val="22"/>
          <w:lang w:eastAsia="fr-FR"/>
        </w:rPr>
        <w:t xml:space="preserve">Coalition Against SLAPPs in Europe (2026), </w:t>
      </w:r>
      <w:r w:rsidRPr="00C0165A">
        <w:rPr>
          <w:i/>
          <w:noProof/>
          <w:sz w:val="22"/>
          <w:lang w:eastAsia="fr-FR"/>
        </w:rPr>
        <w:t>A 2025 Report on SLAPPs in Europe: Democracy in the Dock</w:t>
      </w:r>
      <w:r w:rsidRPr="00C0165A">
        <w:rPr>
          <w:noProof/>
          <w:sz w:val="22"/>
          <w:lang w:eastAsia="fr-FR"/>
        </w:rPr>
        <w:t xml:space="preserve">, </w:t>
      </w:r>
      <w:hyperlink r:id="rId25" w:history="1">
        <w:r w:rsidRPr="00C0165A">
          <w:rPr>
            <w:rStyle w:val="Hyperlink"/>
            <w:noProof/>
            <w:sz w:val="22"/>
            <w:lang w:eastAsia="fr-FR"/>
          </w:rPr>
          <w:t>CASE-2025-Report-layoutted-vf.pdf</w:t>
        </w:r>
      </w:hyperlink>
      <w:r w:rsidRPr="00C0165A">
        <w:rPr>
          <w:noProof/>
          <w:sz w:val="22"/>
          <w:lang w:eastAsia="fr-FR"/>
        </w:rPr>
        <w:t xml:space="preserve"> </w:t>
      </w:r>
    </w:p>
    <w:p w14:paraId="299C15B9" w14:textId="77777777" w:rsidR="00E12C79" w:rsidRPr="00C0165A" w:rsidRDefault="00E12C79" w:rsidP="001D33E1">
      <w:pPr>
        <w:spacing w:after="120"/>
        <w:rPr>
          <w:noProof/>
          <w:sz w:val="22"/>
        </w:rPr>
      </w:pPr>
      <w:r w:rsidRPr="00C0165A">
        <w:rPr>
          <w:noProof/>
          <w:sz w:val="22"/>
          <w:lang w:eastAsia="fr-FR"/>
        </w:rPr>
        <w:t xml:space="preserve">Commission for the Prevention of Corruption (2025), </w:t>
      </w:r>
      <w:r w:rsidRPr="00C0165A">
        <w:rPr>
          <w:i/>
          <w:noProof/>
          <w:sz w:val="22"/>
          <w:lang w:eastAsia="fr-FR"/>
        </w:rPr>
        <w:t>Press release of 28 August 2025</w:t>
      </w:r>
      <w:r w:rsidRPr="00C0165A">
        <w:rPr>
          <w:noProof/>
          <w:sz w:val="22"/>
          <w:lang w:eastAsia="fr-FR"/>
        </w:rPr>
        <w:t xml:space="preserve">, </w:t>
      </w:r>
      <w:hyperlink r:id="rId26" w:history="1">
        <w:r w:rsidRPr="00C0165A">
          <w:rPr>
            <w:rStyle w:val="Hyperlink"/>
            <w:noProof/>
            <w:sz w:val="22"/>
          </w:rPr>
          <w:t>https://www.kpk-rs.si/sl/novice/vse-novice/korupcijska-tveganja-pri-zaposlitvi-v-sdh-vlada-naj-sistemsko-omeji-prehajanje-med-politiko-in-gospodarstvom</w:t>
        </w:r>
      </w:hyperlink>
    </w:p>
    <w:p w14:paraId="63FA2E46" w14:textId="77777777" w:rsidR="00E12C79" w:rsidRPr="00C0165A" w:rsidRDefault="00E12C79" w:rsidP="001D33E1">
      <w:pPr>
        <w:spacing w:after="120"/>
        <w:rPr>
          <w:noProof/>
          <w:sz w:val="22"/>
        </w:rPr>
      </w:pPr>
      <w:r w:rsidRPr="00C0165A">
        <w:rPr>
          <w:noProof/>
          <w:sz w:val="22"/>
          <w:lang w:eastAsia="fr-FR"/>
        </w:rPr>
        <w:t xml:space="preserve">Commission for the Prevention of Corruption (2026), </w:t>
      </w:r>
      <w:r w:rsidRPr="00203ED8">
        <w:rPr>
          <w:i/>
          <w:iCs/>
          <w:noProof/>
          <w:sz w:val="22"/>
          <w:lang w:eastAsia="fr-FR"/>
        </w:rPr>
        <w:t>Annual Report 2025</w:t>
      </w:r>
      <w:r>
        <w:rPr>
          <w:noProof/>
          <w:sz w:val="22"/>
          <w:lang w:eastAsia="fr-FR"/>
        </w:rPr>
        <w:t xml:space="preserve">, </w:t>
      </w:r>
      <w:hyperlink r:id="rId27" w:history="1">
        <w:r w:rsidRPr="004C1FF2">
          <w:rPr>
            <w:rStyle w:val="Hyperlink"/>
            <w:noProof/>
            <w:sz w:val="22"/>
            <w:lang w:eastAsia="fr-FR"/>
          </w:rPr>
          <w:t>https://www.kpk-rs.si/storage/uploads/66adb178-c231-4df3-bbfa-6ca6ec7be0a4/Letno-poro%C4%8Dilo-2025_za-objavo.pdf</w:t>
        </w:r>
      </w:hyperlink>
      <w:r>
        <w:rPr>
          <w:noProof/>
          <w:sz w:val="22"/>
          <w:lang w:eastAsia="fr-FR"/>
        </w:rPr>
        <w:t>.</w:t>
      </w:r>
      <w:r w:rsidRPr="00C0165A">
        <w:rPr>
          <w:noProof/>
          <w:sz w:val="22"/>
          <w:lang w:eastAsia="fr-FR"/>
        </w:rPr>
        <w:t xml:space="preserve"> </w:t>
      </w:r>
      <w:r>
        <w:rPr>
          <w:noProof/>
          <w:sz w:val="22"/>
          <w:lang w:eastAsia="fr-FR"/>
        </w:rPr>
        <w:t xml:space="preserve"> </w:t>
      </w:r>
    </w:p>
    <w:p w14:paraId="0FCE2BFE" w14:textId="77777777" w:rsidR="00E12C79" w:rsidRDefault="00E12C79" w:rsidP="00061335">
      <w:pPr>
        <w:spacing w:after="120"/>
        <w:rPr>
          <w:rFonts w:eastAsia="Calibri"/>
          <w:noProof/>
          <w:sz w:val="22"/>
          <w:szCs w:val="22"/>
          <w:lang w:val="en-IE"/>
        </w:rPr>
      </w:pPr>
      <w:r w:rsidRPr="00493602">
        <w:rPr>
          <w:rFonts w:eastAsia="Calibri"/>
          <w:noProof/>
          <w:sz w:val="22"/>
          <w:szCs w:val="22"/>
        </w:rPr>
        <w:t xml:space="preserve">Constitutional Court (2023), </w:t>
      </w:r>
      <w:r>
        <w:rPr>
          <w:rFonts w:eastAsia="Calibri"/>
          <w:noProof/>
          <w:sz w:val="22"/>
          <w:szCs w:val="22"/>
        </w:rPr>
        <w:t>j</w:t>
      </w:r>
      <w:r w:rsidRPr="00493602">
        <w:rPr>
          <w:rFonts w:eastAsia="Calibri"/>
          <w:noProof/>
          <w:sz w:val="22"/>
          <w:szCs w:val="22"/>
        </w:rPr>
        <w:t>udgment</w:t>
      </w:r>
      <w:r>
        <w:rPr>
          <w:rFonts w:eastAsia="Calibri"/>
          <w:noProof/>
          <w:sz w:val="22"/>
          <w:szCs w:val="22"/>
        </w:rPr>
        <w:t xml:space="preserve"> of </w:t>
      </w:r>
      <w:r w:rsidRPr="00493602">
        <w:rPr>
          <w:rFonts w:eastAsia="Calibri"/>
          <w:noProof/>
          <w:sz w:val="22"/>
          <w:szCs w:val="22"/>
        </w:rPr>
        <w:t>6 July 2023</w:t>
      </w:r>
      <w:r>
        <w:rPr>
          <w:rFonts w:eastAsia="Calibri"/>
          <w:noProof/>
          <w:sz w:val="22"/>
          <w:szCs w:val="22"/>
        </w:rPr>
        <w:t>,</w:t>
      </w:r>
      <w:r w:rsidRPr="00493602">
        <w:rPr>
          <w:rFonts w:eastAsia="Calibri"/>
          <w:noProof/>
          <w:sz w:val="22"/>
          <w:szCs w:val="22"/>
        </w:rPr>
        <w:t xml:space="preserve"> U-I-144/19</w:t>
      </w:r>
      <w:r>
        <w:rPr>
          <w:rFonts w:eastAsia="Calibri"/>
          <w:noProof/>
          <w:sz w:val="22"/>
          <w:szCs w:val="22"/>
        </w:rPr>
        <w:t>_3</w:t>
      </w:r>
      <w:r w:rsidRPr="00493602">
        <w:rPr>
          <w:rFonts w:eastAsia="Calibri"/>
          <w:noProof/>
          <w:sz w:val="22"/>
          <w:szCs w:val="22"/>
        </w:rPr>
        <w:t xml:space="preserve"> (PART THREE)</w:t>
      </w:r>
      <w:r>
        <w:rPr>
          <w:rFonts w:eastAsia="Calibri"/>
          <w:noProof/>
          <w:sz w:val="22"/>
          <w:szCs w:val="22"/>
        </w:rPr>
        <w:t xml:space="preserve"> </w:t>
      </w:r>
      <w:hyperlink r:id="rId28" w:history="1">
        <w:r w:rsidRPr="004C1FF2">
          <w:rPr>
            <w:rStyle w:val="Hyperlink"/>
            <w:rFonts w:eastAsia="Calibri"/>
            <w:noProof/>
            <w:sz w:val="22"/>
            <w:szCs w:val="22"/>
          </w:rPr>
          <w:t>https://www.us-rs.si/odlocitev/?q=U-I-144%2F19&amp;order=desc&amp;id=120340</w:t>
        </w:r>
      </w:hyperlink>
      <w:r>
        <w:rPr>
          <w:rFonts w:eastAsia="Calibri"/>
          <w:noProof/>
          <w:sz w:val="22"/>
          <w:szCs w:val="22"/>
        </w:rPr>
        <w:t xml:space="preserve"> </w:t>
      </w:r>
      <w:r w:rsidRPr="00493602">
        <w:rPr>
          <w:rFonts w:eastAsia="Calibri"/>
          <w:noProof/>
          <w:sz w:val="22"/>
          <w:szCs w:val="22"/>
        </w:rPr>
        <w:t>.</w:t>
      </w:r>
    </w:p>
    <w:p w14:paraId="737A6CB6" w14:textId="77777777" w:rsidR="00E12C79" w:rsidRPr="000029DA" w:rsidRDefault="00E12C79" w:rsidP="00061335">
      <w:pPr>
        <w:spacing w:after="120"/>
        <w:rPr>
          <w:rFonts w:eastAsia="Calibri"/>
          <w:i/>
          <w:iCs/>
          <w:noProof/>
          <w:sz w:val="22"/>
          <w:szCs w:val="22"/>
          <w:lang w:val="en-IE"/>
        </w:rPr>
      </w:pPr>
      <w:r w:rsidRPr="000029DA">
        <w:rPr>
          <w:rFonts w:eastAsia="Calibri"/>
          <w:noProof/>
          <w:sz w:val="22"/>
          <w:szCs w:val="22"/>
          <w:lang w:val="en-IE"/>
        </w:rPr>
        <w:t xml:space="preserve">Directorate-General for Communication (2026), </w:t>
      </w:r>
      <w:r w:rsidRPr="006B7E15">
        <w:rPr>
          <w:rFonts w:eastAsia="Calibri"/>
          <w:i/>
          <w:iCs/>
          <w:noProof/>
          <w:sz w:val="22"/>
          <w:szCs w:val="22"/>
          <w:lang w:val="en-US"/>
        </w:rPr>
        <w:t>Flash Eurobaromet</w:t>
      </w:r>
      <w:r w:rsidRPr="00F36AF2">
        <w:rPr>
          <w:rFonts w:eastAsia="Calibri"/>
          <w:i/>
          <w:iCs/>
          <w:noProof/>
          <w:sz w:val="22"/>
          <w:szCs w:val="22"/>
          <w:lang w:val="en-US"/>
        </w:rPr>
        <w:t>er 582 on Businesses’</w:t>
      </w:r>
      <w:r w:rsidRPr="005133E0">
        <w:rPr>
          <w:rFonts w:eastAsia="Calibri"/>
          <w:i/>
          <w:iCs/>
          <w:noProof/>
          <w:sz w:val="22"/>
          <w:szCs w:val="22"/>
          <w:lang w:val="en-US"/>
        </w:rPr>
        <w:t xml:space="preserve"> attitudes towards corruption and businesses’ perception of the independence of national justice systems in the EU and in selected enlargement countries in 2026</w:t>
      </w:r>
      <w:r>
        <w:rPr>
          <w:rFonts w:eastAsia="Calibri"/>
          <w:i/>
          <w:iCs/>
          <w:noProof/>
          <w:sz w:val="22"/>
          <w:szCs w:val="22"/>
          <w:lang w:val="en-US"/>
        </w:rPr>
        <w:t>.</w:t>
      </w:r>
    </w:p>
    <w:p w14:paraId="3AA98039" w14:textId="77777777" w:rsidR="00E12C79" w:rsidRPr="000029DA" w:rsidRDefault="00E12C79" w:rsidP="00061335">
      <w:pPr>
        <w:spacing w:after="120"/>
        <w:rPr>
          <w:rFonts w:eastAsia="Calibri"/>
          <w:i/>
          <w:iCs/>
          <w:noProof/>
          <w:sz w:val="22"/>
          <w:szCs w:val="22"/>
          <w:lang w:val="en-IE"/>
        </w:rPr>
      </w:pPr>
      <w:r w:rsidRPr="000029DA">
        <w:rPr>
          <w:rFonts w:eastAsia="Calibri"/>
          <w:noProof/>
          <w:sz w:val="22"/>
          <w:szCs w:val="22"/>
          <w:lang w:val="en-IE"/>
        </w:rPr>
        <w:t xml:space="preserve">Directorate-General for Communication (2026), </w:t>
      </w:r>
      <w:r w:rsidRPr="006B7E15">
        <w:rPr>
          <w:rFonts w:eastAsia="Calibri"/>
          <w:i/>
          <w:iCs/>
          <w:noProof/>
          <w:sz w:val="22"/>
          <w:szCs w:val="22"/>
          <w:lang w:val="en-US"/>
        </w:rPr>
        <w:t xml:space="preserve">Special Eurobarometer </w:t>
      </w:r>
      <w:r>
        <w:rPr>
          <w:rFonts w:eastAsia="Calibri"/>
          <w:i/>
          <w:iCs/>
          <w:noProof/>
          <w:sz w:val="22"/>
          <w:szCs w:val="22"/>
          <w:lang w:val="en-US"/>
        </w:rPr>
        <w:t>573</w:t>
      </w:r>
      <w:r w:rsidRPr="006B7E15">
        <w:rPr>
          <w:rFonts w:eastAsia="Calibri"/>
          <w:i/>
          <w:iCs/>
          <w:noProof/>
          <w:sz w:val="22"/>
          <w:szCs w:val="22"/>
          <w:lang w:val="en-US"/>
        </w:rPr>
        <w:t xml:space="preserve"> on citizens’ attitudes towards corruption in the EU</w:t>
      </w:r>
      <w:r>
        <w:rPr>
          <w:rFonts w:eastAsia="Calibri"/>
          <w:i/>
          <w:iCs/>
          <w:noProof/>
          <w:sz w:val="22"/>
          <w:szCs w:val="22"/>
          <w:lang w:val="en-US"/>
        </w:rPr>
        <w:t xml:space="preserve"> in 2026</w:t>
      </w:r>
      <w:r w:rsidRPr="006B7E15">
        <w:rPr>
          <w:rFonts w:eastAsia="Calibri"/>
          <w:i/>
          <w:iCs/>
          <w:noProof/>
          <w:sz w:val="22"/>
          <w:szCs w:val="22"/>
          <w:lang w:val="en-US"/>
        </w:rPr>
        <w:t>.</w:t>
      </w:r>
    </w:p>
    <w:p w14:paraId="13A8D929" w14:textId="77777777" w:rsidR="00E12C79" w:rsidRPr="00C0165A" w:rsidRDefault="00E12C79" w:rsidP="001D33E1">
      <w:pPr>
        <w:spacing w:after="120"/>
        <w:rPr>
          <w:noProof/>
          <w:sz w:val="22"/>
          <w:lang w:eastAsia="en-GB"/>
        </w:rPr>
      </w:pPr>
      <w:r w:rsidRPr="00C0165A">
        <w:rPr>
          <w:noProof/>
          <w:sz w:val="22"/>
          <w:lang w:eastAsia="en-GB"/>
        </w:rPr>
        <w:t xml:space="preserve">Higher Court in Ljubljana (2026), </w:t>
      </w:r>
      <w:r w:rsidRPr="00C0165A">
        <w:rPr>
          <w:i/>
          <w:noProof/>
          <w:sz w:val="22"/>
          <w:lang w:eastAsia="en-GB"/>
        </w:rPr>
        <w:t>Press release of 16 February 2026</w:t>
      </w:r>
      <w:r w:rsidRPr="00C0165A">
        <w:rPr>
          <w:noProof/>
          <w:sz w:val="22"/>
          <w:lang w:eastAsia="en-GB"/>
        </w:rPr>
        <w:t xml:space="preserve">, </w:t>
      </w:r>
      <w:hyperlink r:id="rId29" w:history="1">
        <w:r w:rsidRPr="00C0165A">
          <w:rPr>
            <w:rStyle w:val="Hyperlink"/>
            <w:noProof/>
            <w:sz w:val="22"/>
            <w:lang w:eastAsia="en-GB"/>
          </w:rPr>
          <w:t>https://www.sodisce.si/sodni_postopki/objave/2026021910221036/</w:t>
        </w:r>
      </w:hyperlink>
      <w:r w:rsidRPr="00C0165A">
        <w:rPr>
          <w:noProof/>
          <w:sz w:val="22"/>
          <w:lang w:eastAsia="en-GB"/>
        </w:rPr>
        <w:t xml:space="preserve">. </w:t>
      </w:r>
    </w:p>
    <w:p w14:paraId="4F9FB430" w14:textId="77777777" w:rsidR="00E12C79" w:rsidRPr="00C0165A" w:rsidRDefault="00E12C79" w:rsidP="001D33E1">
      <w:pPr>
        <w:spacing w:after="120"/>
        <w:rPr>
          <w:noProof/>
          <w:sz w:val="22"/>
          <w:lang w:eastAsia="en-GB"/>
        </w:rPr>
      </w:pPr>
      <w:r w:rsidRPr="00C0165A">
        <w:rPr>
          <w:noProof/>
          <w:sz w:val="22"/>
          <w:lang w:eastAsia="en-GB"/>
        </w:rPr>
        <w:t xml:space="preserve">Judicial Council (2025), </w:t>
      </w:r>
      <w:r w:rsidRPr="00C0165A">
        <w:rPr>
          <w:i/>
          <w:noProof/>
          <w:sz w:val="22"/>
          <w:lang w:eastAsia="en-GB"/>
        </w:rPr>
        <w:t>Decision on dismissal served on the President of the District Court in Ljubljana</w:t>
      </w:r>
      <w:r w:rsidRPr="00C0165A">
        <w:rPr>
          <w:noProof/>
          <w:sz w:val="22"/>
          <w:lang w:eastAsia="en-GB"/>
        </w:rPr>
        <w:t xml:space="preserve">, 2 December 2025 </w:t>
      </w:r>
      <w:hyperlink r:id="rId30" w:history="1">
        <w:r w:rsidRPr="00C0165A">
          <w:rPr>
            <w:rStyle w:val="Hyperlink"/>
            <w:noProof/>
            <w:sz w:val="22"/>
            <w:lang w:eastAsia="en-GB"/>
          </w:rPr>
          <w:t>http://www.sodni-svet.si/?p=objave-112</w:t>
        </w:r>
      </w:hyperlink>
      <w:r w:rsidRPr="00C0165A">
        <w:rPr>
          <w:noProof/>
          <w:sz w:val="22"/>
          <w:lang w:eastAsia="en-GB"/>
        </w:rPr>
        <w:t xml:space="preserve">.    </w:t>
      </w:r>
    </w:p>
    <w:p w14:paraId="3CD07B6A" w14:textId="77777777" w:rsidR="00E12C79" w:rsidRPr="00C0165A" w:rsidRDefault="00E12C79" w:rsidP="001D33E1">
      <w:pPr>
        <w:spacing w:after="120"/>
        <w:rPr>
          <w:noProof/>
          <w:sz w:val="22"/>
          <w:lang w:eastAsia="en-GB"/>
        </w:rPr>
      </w:pPr>
      <w:r w:rsidRPr="00C0165A">
        <w:rPr>
          <w:noProof/>
          <w:sz w:val="22"/>
          <w:lang w:eastAsia="en-GB"/>
        </w:rPr>
        <w:t xml:space="preserve">Judicial Council (2026a), </w:t>
      </w:r>
      <w:r w:rsidRPr="009409DD">
        <w:rPr>
          <w:i/>
          <w:iCs/>
          <w:noProof/>
          <w:sz w:val="22"/>
          <w:lang w:eastAsia="en-GB"/>
        </w:rPr>
        <w:t>additional written input</w:t>
      </w:r>
      <w:r w:rsidRPr="00C0165A">
        <w:rPr>
          <w:noProof/>
          <w:sz w:val="22"/>
          <w:lang w:eastAsia="en-GB"/>
        </w:rPr>
        <w:t>.</w:t>
      </w:r>
    </w:p>
    <w:p w14:paraId="251B7384" w14:textId="77777777" w:rsidR="00E12C79" w:rsidRDefault="00E12C79" w:rsidP="001D33E1">
      <w:pPr>
        <w:spacing w:after="120"/>
        <w:rPr>
          <w:noProof/>
          <w:sz w:val="22"/>
          <w:lang w:eastAsia="en-GB"/>
        </w:rPr>
      </w:pPr>
      <w:r w:rsidRPr="00C0165A">
        <w:rPr>
          <w:noProof/>
          <w:sz w:val="22"/>
          <w:lang w:eastAsia="en-GB"/>
        </w:rPr>
        <w:t xml:space="preserve">Judicial Council (2026b), </w:t>
      </w:r>
      <w:r w:rsidRPr="00C0165A">
        <w:rPr>
          <w:i/>
          <w:noProof/>
          <w:sz w:val="22"/>
          <w:lang w:eastAsia="en-GB"/>
        </w:rPr>
        <w:t>The Judicial Council has filed a new request for review of constitutionality</w:t>
      </w:r>
      <w:r w:rsidRPr="00C0165A">
        <w:rPr>
          <w:noProof/>
          <w:sz w:val="22"/>
          <w:lang w:eastAsia="en-GB"/>
        </w:rPr>
        <w:t xml:space="preserve">, 27 January 2026 </w:t>
      </w:r>
      <w:hyperlink r:id="rId31" w:history="1">
        <w:r w:rsidRPr="00C0165A">
          <w:rPr>
            <w:rStyle w:val="Hyperlink"/>
            <w:noProof/>
            <w:sz w:val="22"/>
            <w:lang w:eastAsia="en-GB"/>
          </w:rPr>
          <w:t>http://www.sodni-svet.si/?p=objave-117</w:t>
        </w:r>
      </w:hyperlink>
      <w:r w:rsidRPr="00C0165A">
        <w:rPr>
          <w:noProof/>
          <w:sz w:val="22"/>
          <w:lang w:eastAsia="en-GB"/>
        </w:rPr>
        <w:t xml:space="preserve">. </w:t>
      </w:r>
    </w:p>
    <w:p w14:paraId="292B58E9" w14:textId="77777777" w:rsidR="00E12C79" w:rsidRPr="00C0165A" w:rsidRDefault="00E12C79" w:rsidP="001D33E1">
      <w:pPr>
        <w:spacing w:after="120"/>
        <w:rPr>
          <w:noProof/>
          <w:sz w:val="22"/>
          <w:lang w:eastAsia="en-GB"/>
        </w:rPr>
      </w:pPr>
      <w:r>
        <w:rPr>
          <w:noProof/>
          <w:sz w:val="22"/>
          <w:lang w:eastAsia="en-GB"/>
        </w:rPr>
        <w:t xml:space="preserve">Ministry of Justice (2026), </w:t>
      </w:r>
      <w:r w:rsidRPr="00992648">
        <w:rPr>
          <w:i/>
          <w:iCs/>
          <w:noProof/>
          <w:sz w:val="22"/>
          <w:lang w:eastAsia="en-GB"/>
        </w:rPr>
        <w:t>Press release: Slovenia among the most successful in protecting against SLAPP lawsuits</w:t>
      </w:r>
      <w:r>
        <w:rPr>
          <w:noProof/>
          <w:sz w:val="22"/>
          <w:lang w:eastAsia="en-GB"/>
        </w:rPr>
        <w:t xml:space="preserve">, 11 May 2026 </w:t>
      </w:r>
      <w:hyperlink r:id="rId32" w:history="1">
        <w:r w:rsidRPr="00996B93">
          <w:rPr>
            <w:rStyle w:val="Hyperlink"/>
            <w:noProof/>
            <w:sz w:val="22"/>
            <w:lang w:eastAsia="en-GB"/>
          </w:rPr>
          <w:t>https://www.gov.si/novice/2026-05-11-slovenija-med-uspesnejsimi-pri-zasciti-pred-tozbami-slapp/</w:t>
        </w:r>
      </w:hyperlink>
      <w:r>
        <w:rPr>
          <w:noProof/>
          <w:sz w:val="22"/>
          <w:lang w:eastAsia="en-GB"/>
        </w:rPr>
        <w:t xml:space="preserve">. </w:t>
      </w:r>
    </w:p>
    <w:p w14:paraId="7EFEA0D5" w14:textId="77777777" w:rsidR="00E12C79" w:rsidRPr="00C0165A" w:rsidRDefault="00E12C79" w:rsidP="001D33E1">
      <w:pPr>
        <w:spacing w:after="120"/>
        <w:rPr>
          <w:noProof/>
          <w:sz w:val="22"/>
        </w:rPr>
      </w:pPr>
      <w:r w:rsidRPr="00C0165A">
        <w:rPr>
          <w:noProof/>
          <w:sz w:val="22"/>
        </w:rPr>
        <w:t xml:space="preserve">Parliament (2026a), </w:t>
      </w:r>
      <w:r w:rsidRPr="00C0165A">
        <w:rPr>
          <w:i/>
          <w:iCs/>
          <w:noProof/>
          <w:sz w:val="22"/>
        </w:rPr>
        <w:t xml:space="preserve">Final Report on the determination of political responsibility of public office holders for the alleged illegal financing of political parties and party political propaganda in the media before and during the 2022 </w:t>
      </w:r>
      <w:r w:rsidRPr="00C0165A">
        <w:rPr>
          <w:noProof/>
          <w:sz w:val="22"/>
          <w:lang w:eastAsia="en-GB"/>
        </w:rPr>
        <w:t>election</w:t>
      </w:r>
      <w:r w:rsidRPr="00C0165A">
        <w:rPr>
          <w:i/>
          <w:iCs/>
          <w:noProof/>
          <w:sz w:val="22"/>
        </w:rPr>
        <w:t xml:space="preserve"> of members of the National Assembly with funding from state-owned enterprises, state institutions and foreign entities</w:t>
      </w:r>
      <w:r w:rsidRPr="00C0165A">
        <w:rPr>
          <w:noProof/>
          <w:sz w:val="22"/>
        </w:rPr>
        <w:t xml:space="preserve">’, EPA 2822-IX, 2 March 2026 </w:t>
      </w:r>
    </w:p>
    <w:p w14:paraId="096D0272" w14:textId="77777777" w:rsidR="00E12C79" w:rsidRPr="00C0165A" w:rsidRDefault="00E12C79" w:rsidP="001D33E1">
      <w:pPr>
        <w:spacing w:after="120"/>
        <w:rPr>
          <w:noProof/>
          <w:sz w:val="22"/>
          <w:lang w:eastAsia="en-GB"/>
        </w:rPr>
      </w:pPr>
      <w:r w:rsidRPr="00C0165A">
        <w:rPr>
          <w:noProof/>
          <w:sz w:val="22"/>
          <w:lang w:eastAsia="en-GB"/>
        </w:rPr>
        <w:t xml:space="preserve">Supreme Court (2026a), </w:t>
      </w:r>
      <w:r w:rsidRPr="00C0165A">
        <w:rPr>
          <w:i/>
          <w:iCs/>
          <w:noProof/>
          <w:sz w:val="22"/>
          <w:lang w:eastAsia="en-GB"/>
        </w:rPr>
        <w:t>The new digitisation center will carry out the entire process of handling physical court documents</w:t>
      </w:r>
      <w:r w:rsidRPr="00C0165A">
        <w:rPr>
          <w:noProof/>
          <w:sz w:val="22"/>
          <w:lang w:eastAsia="en-GB"/>
        </w:rPr>
        <w:t xml:space="preserve">, 31 March 2026 </w:t>
      </w:r>
      <w:hyperlink r:id="rId33" w:history="1">
        <w:r w:rsidRPr="00C0165A">
          <w:rPr>
            <w:rStyle w:val="Hyperlink"/>
            <w:noProof/>
            <w:sz w:val="22"/>
            <w:lang w:eastAsia="en-GB"/>
          </w:rPr>
          <w:t>https://www.sodisce.si/sodni_postopki/objave/2026033110575928/</w:t>
        </w:r>
      </w:hyperlink>
      <w:r w:rsidRPr="00C0165A">
        <w:rPr>
          <w:noProof/>
          <w:sz w:val="22"/>
          <w:lang w:eastAsia="en-GB"/>
        </w:rPr>
        <w:t>.</w:t>
      </w:r>
    </w:p>
    <w:p w14:paraId="360374A8" w14:textId="77777777" w:rsidR="00E12C79" w:rsidRPr="00C0165A" w:rsidRDefault="00E12C79" w:rsidP="001D33E1">
      <w:pPr>
        <w:spacing w:after="120"/>
        <w:rPr>
          <w:noProof/>
          <w:sz w:val="22"/>
          <w:lang w:eastAsia="en-GB"/>
        </w:rPr>
      </w:pPr>
      <w:r w:rsidRPr="00C0165A">
        <w:rPr>
          <w:noProof/>
          <w:sz w:val="22"/>
          <w:lang w:eastAsia="en-GB"/>
        </w:rPr>
        <w:t xml:space="preserve">Supreme Court (2026b), </w:t>
      </w:r>
      <w:r w:rsidRPr="00C0165A">
        <w:rPr>
          <w:i/>
          <w:noProof/>
          <w:sz w:val="22"/>
          <w:lang w:eastAsia="en-GB"/>
        </w:rPr>
        <w:t>Project of new videoconferencing and audio-video equipment for courts successfully completed</w:t>
      </w:r>
      <w:r w:rsidRPr="00C0165A">
        <w:rPr>
          <w:noProof/>
          <w:sz w:val="22"/>
          <w:lang w:eastAsia="en-GB"/>
        </w:rPr>
        <w:t xml:space="preserve">, 31 March 2026  </w:t>
      </w:r>
      <w:hyperlink r:id="rId34" w:history="1">
        <w:r w:rsidRPr="00C0165A">
          <w:rPr>
            <w:rStyle w:val="Hyperlink"/>
            <w:noProof/>
            <w:sz w:val="22"/>
            <w:lang w:eastAsia="en-GB"/>
          </w:rPr>
          <w:t>https://www.sodisce.si/sodni_postopki/objave/2026040110554618/</w:t>
        </w:r>
      </w:hyperlink>
      <w:r w:rsidRPr="00C0165A">
        <w:rPr>
          <w:noProof/>
          <w:sz w:val="22"/>
          <w:lang w:eastAsia="en-GB"/>
        </w:rPr>
        <w:t xml:space="preserve">.                                                                </w:t>
      </w:r>
    </w:p>
    <w:p w14:paraId="3D9F0F13" w14:textId="77777777" w:rsidR="00E12C79" w:rsidRPr="00C0165A" w:rsidRDefault="00E12C79" w:rsidP="001D33E1">
      <w:pPr>
        <w:spacing w:after="120"/>
        <w:rPr>
          <w:noProof/>
          <w:sz w:val="22"/>
          <w:lang w:eastAsia="en-GB"/>
        </w:rPr>
      </w:pPr>
      <w:r w:rsidRPr="00C0165A">
        <w:rPr>
          <w:noProof/>
          <w:sz w:val="22"/>
          <w:lang w:eastAsia="en-GB"/>
        </w:rPr>
        <w:t xml:space="preserve">Supreme Court (2026c), </w:t>
      </w:r>
      <w:r w:rsidRPr="00521AC8">
        <w:rPr>
          <w:i/>
          <w:iCs/>
          <w:noProof/>
          <w:sz w:val="22"/>
          <w:lang w:eastAsia="en-GB"/>
        </w:rPr>
        <w:t xml:space="preserve">written input </w:t>
      </w:r>
      <w:r>
        <w:rPr>
          <w:noProof/>
          <w:sz w:val="22"/>
          <w:lang w:eastAsia="en-GB"/>
        </w:rPr>
        <w:t xml:space="preserve">and </w:t>
      </w:r>
      <w:r w:rsidRPr="00521AC8">
        <w:rPr>
          <w:i/>
          <w:iCs/>
          <w:noProof/>
          <w:sz w:val="22"/>
          <w:lang w:eastAsia="en-GB"/>
        </w:rPr>
        <w:t>additional written input</w:t>
      </w:r>
      <w:r w:rsidRPr="00C0165A">
        <w:rPr>
          <w:noProof/>
          <w:sz w:val="22"/>
          <w:lang w:eastAsia="en-GB"/>
        </w:rPr>
        <w:t>.</w:t>
      </w:r>
    </w:p>
    <w:p w14:paraId="1A120EAB" w14:textId="77777777" w:rsidR="00E12C79" w:rsidRPr="00F31A8D" w:rsidRDefault="00E12C79" w:rsidP="001D33E1">
      <w:pPr>
        <w:spacing w:after="120"/>
        <w:rPr>
          <w:noProof/>
          <w:sz w:val="22"/>
          <w:lang w:eastAsia="en-GB"/>
        </w:rPr>
      </w:pPr>
      <w:r w:rsidRPr="00C0165A">
        <w:rPr>
          <w:noProof/>
          <w:sz w:val="22"/>
          <w:lang w:eastAsia="en-GB"/>
        </w:rPr>
        <w:t xml:space="preserve">Supreme Court (2026d), </w:t>
      </w:r>
      <w:r w:rsidRPr="00C0165A">
        <w:rPr>
          <w:i/>
          <w:noProof/>
          <w:sz w:val="22"/>
          <w:lang w:eastAsia="en-GB"/>
        </w:rPr>
        <w:t>First meeting of the Umbrella Group for the Implementation of Judicial Legislation</w:t>
      </w:r>
      <w:r w:rsidRPr="00C0165A">
        <w:rPr>
          <w:noProof/>
          <w:sz w:val="22"/>
          <w:lang w:eastAsia="en-GB"/>
        </w:rPr>
        <w:t xml:space="preserve">, 2 February 2026 </w:t>
      </w:r>
      <w:hyperlink r:id="rId35" w:history="1">
        <w:r w:rsidRPr="00C0165A">
          <w:rPr>
            <w:rStyle w:val="Hyperlink"/>
            <w:noProof/>
            <w:sz w:val="22"/>
            <w:lang w:eastAsia="en-GB"/>
          </w:rPr>
          <w:t>https://www.sodisce.si/sodni_postopki/objave/2026020315352628/</w:t>
        </w:r>
      </w:hyperlink>
      <w:r w:rsidRPr="00C0165A">
        <w:rPr>
          <w:noProof/>
          <w:sz w:val="22"/>
          <w:lang w:eastAsia="en-GB"/>
        </w:rPr>
        <w:t xml:space="preserve">. </w:t>
      </w:r>
    </w:p>
    <w:p w14:paraId="0E86E5F8" w14:textId="77777777" w:rsidR="001D33E1" w:rsidRPr="00230D53" w:rsidRDefault="001D33E1" w:rsidP="001D33E1">
      <w:pPr>
        <w:pageBreakBefore/>
        <w:spacing w:after="120" w:line="264" w:lineRule="auto"/>
        <w:rPr>
          <w:b/>
          <w:noProof/>
          <w:lang w:eastAsia="en-GB"/>
        </w:rPr>
      </w:pPr>
      <w:r w:rsidRPr="00230D53">
        <w:rPr>
          <w:b/>
          <w:noProof/>
          <w:lang w:eastAsia="en-GB"/>
        </w:rPr>
        <w:t>Annex II: Country visit to Slovenia</w:t>
      </w:r>
    </w:p>
    <w:p w14:paraId="68311191" w14:textId="77777777" w:rsidR="001D33E1" w:rsidRPr="00230D53" w:rsidRDefault="001D33E1" w:rsidP="001D33E1">
      <w:pPr>
        <w:spacing w:after="120" w:line="264" w:lineRule="auto"/>
        <w:rPr>
          <w:noProof/>
          <w:shd w:val="clear" w:color="auto" w:fill="FFFFFF"/>
          <w:lang w:eastAsia="en-GB"/>
        </w:rPr>
      </w:pPr>
      <w:r w:rsidRPr="00230D53">
        <w:rPr>
          <w:noProof/>
          <w:lang w:eastAsia="en-GB"/>
        </w:rPr>
        <w:t>The Commission services held virtual meetings in March 2026 with:</w:t>
      </w:r>
    </w:p>
    <w:p w14:paraId="69ECF247"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Agency for Communication Networks and Services (AKOS)</w:t>
      </w:r>
    </w:p>
    <w:p w14:paraId="42178CA6"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Association of Journalists</w:t>
      </w:r>
    </w:p>
    <w:p w14:paraId="1C7B83A4" w14:textId="77777777" w:rsidR="009A2454" w:rsidRDefault="009A2454" w:rsidP="001D33E1">
      <w:pPr>
        <w:numPr>
          <w:ilvl w:val="0"/>
          <w:numId w:val="21"/>
        </w:numPr>
        <w:spacing w:after="0" w:line="256" w:lineRule="auto"/>
        <w:contextualSpacing/>
        <w:rPr>
          <w:noProof/>
          <w:szCs w:val="24"/>
          <w:bdr w:val="none" w:sz="0" w:space="0" w:color="auto" w:frame="1"/>
        </w:rPr>
      </w:pPr>
      <w:r>
        <w:rPr>
          <w:noProof/>
          <w:szCs w:val="24"/>
          <w:bdr w:val="none" w:sz="0" w:space="0" w:color="auto" w:frame="1"/>
        </w:rPr>
        <w:t>Bar Association</w:t>
      </w:r>
    </w:p>
    <w:p w14:paraId="4975DB0E"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Commission for the Prevention of Corruption</w:t>
      </w:r>
    </w:p>
    <w:p w14:paraId="496195EE"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Constitutional Court</w:t>
      </w:r>
    </w:p>
    <w:p w14:paraId="3FC1B03D"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 xml:space="preserve">Court of Audit </w:t>
      </w:r>
    </w:p>
    <w:p w14:paraId="0492F9C4" w14:textId="77777777" w:rsidR="009A2454" w:rsidRPr="00302F16" w:rsidRDefault="009A2454" w:rsidP="0038204E">
      <w:pPr>
        <w:spacing w:after="0" w:line="256" w:lineRule="auto"/>
        <w:ind w:left="720"/>
        <w:contextualSpacing/>
        <w:rPr>
          <w:noProof/>
          <w:szCs w:val="24"/>
          <w:bdr w:val="none" w:sz="0" w:space="0" w:color="auto" w:frame="1"/>
        </w:rPr>
      </w:pPr>
      <w:r w:rsidRPr="00302F16">
        <w:rPr>
          <w:noProof/>
          <w:szCs w:val="24"/>
          <w:bdr w:val="none" w:sz="0" w:space="0" w:color="auto" w:frame="1"/>
        </w:rPr>
        <w:t>Crime division)</w:t>
      </w:r>
    </w:p>
    <w:p w14:paraId="1584935F"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Faculty of Social Sciences (Prof. dr. Marko Milosavljević)</w:t>
      </w:r>
    </w:p>
    <w:p w14:paraId="1A165BB6"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Human Rights Ombudsperson Office</w:t>
      </w:r>
    </w:p>
    <w:p w14:paraId="66C9116F"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Judges’ Association</w:t>
      </w:r>
    </w:p>
    <w:p w14:paraId="4AAEB1A1"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Judicial Council</w:t>
      </w:r>
    </w:p>
    <w:p w14:paraId="2AE15351"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Ministry of Culture</w:t>
      </w:r>
    </w:p>
    <w:p w14:paraId="21461E7F"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Ministry of Justice</w:t>
      </w:r>
    </w:p>
    <w:p w14:paraId="1A0CC056"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Ministry of Public Administration</w:t>
      </w:r>
    </w:p>
    <w:p w14:paraId="763B60AE"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Ministry of the Interior</w:t>
      </w:r>
    </w:p>
    <w:p w14:paraId="5EF8F150"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 xml:space="preserve">National Bureau of Investigation (NPU) and General Police Directorate (Economic </w:t>
      </w:r>
    </w:p>
    <w:p w14:paraId="0F4E7EE1" w14:textId="77777777" w:rsidR="009A2454" w:rsidRPr="00203ED8" w:rsidRDefault="009A2454" w:rsidP="001D33E1">
      <w:pPr>
        <w:numPr>
          <w:ilvl w:val="0"/>
          <w:numId w:val="21"/>
        </w:numPr>
        <w:spacing w:after="0" w:line="256" w:lineRule="auto"/>
        <w:contextualSpacing/>
        <w:rPr>
          <w:noProof/>
          <w:szCs w:val="24"/>
          <w:bdr w:val="none" w:sz="0" w:space="0" w:color="auto" w:frame="1"/>
          <w:lang w:val="es-ES"/>
        </w:rPr>
      </w:pPr>
      <w:r w:rsidRPr="00203ED8">
        <w:rPr>
          <w:noProof/>
          <w:szCs w:val="24"/>
          <w:bdr w:val="none" w:sz="0" w:space="0" w:color="auto" w:frame="1"/>
          <w:lang w:val="es-ES"/>
        </w:rPr>
        <w:t>National NGO umbrella network (CNVOS)</w:t>
      </w:r>
    </w:p>
    <w:p w14:paraId="51663808"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National Review Commission (for public procurement)</w:t>
      </w:r>
    </w:p>
    <w:p w14:paraId="598070E2"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Parliament Secretariat</w:t>
      </w:r>
    </w:p>
    <w:p w14:paraId="2F77701C"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Peace Institute</w:t>
      </w:r>
    </w:p>
    <w:p w14:paraId="1414AC21" w14:textId="77777777" w:rsidR="009A2454" w:rsidRPr="00302F16" w:rsidRDefault="009A2454" w:rsidP="001D33E1">
      <w:pPr>
        <w:spacing w:after="0" w:line="256" w:lineRule="auto"/>
        <w:ind w:left="720"/>
        <w:contextualSpacing/>
        <w:rPr>
          <w:noProof/>
          <w:szCs w:val="24"/>
          <w:bdr w:val="none" w:sz="0" w:space="0" w:color="auto" w:frame="1"/>
        </w:rPr>
      </w:pPr>
      <w:r w:rsidRPr="00302F16">
        <w:rPr>
          <w:noProof/>
          <w:szCs w:val="24"/>
          <w:bdr w:val="none" w:sz="0" w:space="0" w:color="auto" w:frame="1"/>
        </w:rPr>
        <w:t>Prosecution Office, Specialised State Prosecution Office)</w:t>
      </w:r>
    </w:p>
    <w:p w14:paraId="781C2C2D"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Radio-television Slovenia (RTV): Council (President Goran Forbici)</w:t>
      </w:r>
    </w:p>
    <w:p w14:paraId="6BD7B168"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Radio-television Slovenia (RTV): Management Board (President Natalija Gorščak)</w:t>
      </w:r>
    </w:p>
    <w:p w14:paraId="4CBDD4BF"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State Attorney General (dr. Ana Kerševan)</w:t>
      </w:r>
    </w:p>
    <w:p w14:paraId="299787DE"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 xml:space="preserve">State Prosecution (State Prosecutor General dr. Katarina Bergant, Supreme State </w:t>
      </w:r>
    </w:p>
    <w:p w14:paraId="35441961"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State Prosecutorial Council</w:t>
      </w:r>
    </w:p>
    <w:p w14:paraId="108E6DE4"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Supreme Court</w:t>
      </w:r>
    </w:p>
    <w:p w14:paraId="431A7A87" w14:textId="77777777" w:rsidR="009A2454" w:rsidRPr="00302F16" w:rsidRDefault="009A2454" w:rsidP="001D33E1">
      <w:pPr>
        <w:numPr>
          <w:ilvl w:val="0"/>
          <w:numId w:val="21"/>
        </w:numPr>
        <w:spacing w:after="0" w:line="256" w:lineRule="auto"/>
        <w:contextualSpacing/>
        <w:rPr>
          <w:noProof/>
          <w:szCs w:val="24"/>
          <w:bdr w:val="none" w:sz="0" w:space="0" w:color="auto" w:frame="1"/>
        </w:rPr>
      </w:pPr>
      <w:r w:rsidRPr="00302F16">
        <w:rPr>
          <w:noProof/>
          <w:szCs w:val="24"/>
          <w:bdr w:val="none" w:sz="0" w:space="0" w:color="auto" w:frame="1"/>
        </w:rPr>
        <w:t>Transparency International Slovenia</w:t>
      </w:r>
    </w:p>
    <w:p w14:paraId="02F7907B" w14:textId="77777777" w:rsidR="001D33E1" w:rsidRPr="00230D53" w:rsidRDefault="001D33E1" w:rsidP="001D33E1">
      <w:pPr>
        <w:spacing w:after="120" w:line="264" w:lineRule="auto"/>
        <w:rPr>
          <w:noProof/>
          <w:shd w:val="clear" w:color="auto" w:fill="FFFFFF"/>
          <w:lang w:eastAsia="en-GB"/>
        </w:rPr>
      </w:pPr>
    </w:p>
    <w:p w14:paraId="6E6E820B" w14:textId="77777777" w:rsidR="001D33E1" w:rsidRPr="00230D53" w:rsidRDefault="001D33E1" w:rsidP="001D33E1">
      <w:pPr>
        <w:spacing w:after="120" w:line="264" w:lineRule="auto"/>
        <w:rPr>
          <w:noProof/>
          <w:lang w:eastAsia="en-GB"/>
        </w:rPr>
      </w:pPr>
      <w:r w:rsidRPr="00230D53">
        <w:rPr>
          <w:noProof/>
          <w:lang w:eastAsia="en-GB"/>
        </w:rPr>
        <w:t xml:space="preserve">* The Commission also met the following organisations in a number of horizontal meetings: </w:t>
      </w:r>
    </w:p>
    <w:p w14:paraId="207FC527" w14:textId="77777777" w:rsidR="001D33E1" w:rsidRPr="00AD693E" w:rsidRDefault="001D33E1" w:rsidP="001D33E1">
      <w:pPr>
        <w:numPr>
          <w:ilvl w:val="0"/>
          <w:numId w:val="29"/>
        </w:numPr>
        <w:spacing w:after="0" w:line="264" w:lineRule="auto"/>
        <w:rPr>
          <w:noProof/>
          <w:lang w:val="en-IE" w:eastAsia="en-GB"/>
        </w:rPr>
      </w:pPr>
      <w:r w:rsidRPr="00AD693E">
        <w:rPr>
          <w:noProof/>
          <w:lang w:val="en-IE" w:eastAsia="en-GB"/>
        </w:rPr>
        <w:t>Civil Liberties Union for Europe </w:t>
      </w:r>
    </w:p>
    <w:p w14:paraId="60BB3BF6" w14:textId="77777777" w:rsidR="001D33E1" w:rsidRPr="00AD693E" w:rsidRDefault="001D33E1" w:rsidP="001D33E1">
      <w:pPr>
        <w:numPr>
          <w:ilvl w:val="0"/>
          <w:numId w:val="30"/>
        </w:numPr>
        <w:spacing w:after="0" w:line="264" w:lineRule="auto"/>
        <w:rPr>
          <w:noProof/>
          <w:lang w:val="en-IE" w:eastAsia="en-GB"/>
        </w:rPr>
      </w:pPr>
      <w:r w:rsidRPr="00AD693E">
        <w:rPr>
          <w:noProof/>
          <w:lang w:val="en-IE" w:eastAsia="en-GB"/>
        </w:rPr>
        <w:t>Civil Society Europe </w:t>
      </w:r>
    </w:p>
    <w:p w14:paraId="09F8418F" w14:textId="77777777" w:rsidR="001D33E1" w:rsidRPr="00AD693E" w:rsidRDefault="001D33E1" w:rsidP="001D33E1">
      <w:pPr>
        <w:numPr>
          <w:ilvl w:val="0"/>
          <w:numId w:val="31"/>
        </w:numPr>
        <w:spacing w:after="0" w:line="264" w:lineRule="auto"/>
        <w:rPr>
          <w:noProof/>
          <w:lang w:val="en-IE" w:eastAsia="en-GB"/>
        </w:rPr>
      </w:pPr>
      <w:r w:rsidRPr="00AD693E">
        <w:rPr>
          <w:noProof/>
          <w:lang w:val="en-IE" w:eastAsia="en-GB"/>
        </w:rPr>
        <w:t>End FGM EU </w:t>
      </w:r>
    </w:p>
    <w:p w14:paraId="13F7C1BA" w14:textId="77777777" w:rsidR="001D33E1" w:rsidRPr="00AD693E" w:rsidRDefault="001D33E1" w:rsidP="001D33E1">
      <w:pPr>
        <w:numPr>
          <w:ilvl w:val="0"/>
          <w:numId w:val="32"/>
        </w:numPr>
        <w:spacing w:after="0" w:line="264" w:lineRule="auto"/>
        <w:rPr>
          <w:noProof/>
          <w:lang w:val="en-IE" w:eastAsia="en-GB"/>
        </w:rPr>
      </w:pPr>
      <w:r w:rsidRPr="00AD693E">
        <w:rPr>
          <w:noProof/>
          <w:lang w:val="en-IE" w:eastAsia="en-GB"/>
        </w:rPr>
        <w:t>European Civic Forum </w:t>
      </w:r>
    </w:p>
    <w:p w14:paraId="22CFA795" w14:textId="77777777" w:rsidR="001D33E1" w:rsidRPr="00AD693E" w:rsidRDefault="001D33E1" w:rsidP="001D33E1">
      <w:pPr>
        <w:numPr>
          <w:ilvl w:val="0"/>
          <w:numId w:val="33"/>
        </w:numPr>
        <w:spacing w:after="0" w:line="264" w:lineRule="auto"/>
        <w:rPr>
          <w:noProof/>
          <w:lang w:val="en-IE" w:eastAsia="en-GB"/>
        </w:rPr>
      </w:pPr>
      <w:r w:rsidRPr="00AD693E">
        <w:rPr>
          <w:noProof/>
          <w:lang w:val="en-IE" w:eastAsia="en-GB"/>
        </w:rPr>
        <w:t>European Partnership for Democracy </w:t>
      </w:r>
    </w:p>
    <w:p w14:paraId="135CBCA6" w14:textId="77777777" w:rsidR="001D33E1" w:rsidRPr="00AD693E" w:rsidRDefault="001D33E1" w:rsidP="001D33E1">
      <w:pPr>
        <w:numPr>
          <w:ilvl w:val="0"/>
          <w:numId w:val="34"/>
        </w:numPr>
        <w:spacing w:after="0" w:line="264" w:lineRule="auto"/>
        <w:rPr>
          <w:noProof/>
          <w:lang w:val="en-IE" w:eastAsia="en-GB"/>
        </w:rPr>
      </w:pPr>
      <w:r w:rsidRPr="00AD693E">
        <w:rPr>
          <w:noProof/>
          <w:lang w:val="en-IE" w:eastAsia="en-GB"/>
        </w:rPr>
        <w:t>Human Rights Watch </w:t>
      </w:r>
    </w:p>
    <w:p w14:paraId="67BDE4A6" w14:textId="77777777" w:rsidR="001D33E1" w:rsidRPr="00AD693E" w:rsidRDefault="001D33E1" w:rsidP="001D33E1">
      <w:pPr>
        <w:numPr>
          <w:ilvl w:val="0"/>
          <w:numId w:val="35"/>
        </w:numPr>
        <w:spacing w:after="0" w:line="264" w:lineRule="auto"/>
        <w:rPr>
          <w:noProof/>
          <w:lang w:val="en-IE" w:eastAsia="en-GB"/>
        </w:rPr>
      </w:pPr>
      <w:r w:rsidRPr="00AD693E">
        <w:rPr>
          <w:noProof/>
          <w:lang w:val="en-IE" w:eastAsia="en-GB"/>
        </w:rPr>
        <w:t>ILGA-Europe </w:t>
      </w:r>
    </w:p>
    <w:p w14:paraId="7AF9A4EB" w14:textId="77777777" w:rsidR="001D33E1" w:rsidRPr="00AD693E" w:rsidRDefault="001D33E1" w:rsidP="001D33E1">
      <w:pPr>
        <w:numPr>
          <w:ilvl w:val="0"/>
          <w:numId w:val="36"/>
        </w:numPr>
        <w:spacing w:after="0" w:line="264" w:lineRule="auto"/>
        <w:rPr>
          <w:noProof/>
          <w:lang w:val="en-IE" w:eastAsia="en-GB"/>
        </w:rPr>
      </w:pPr>
      <w:r w:rsidRPr="00AD693E">
        <w:rPr>
          <w:noProof/>
          <w:lang w:val="en-IE" w:eastAsia="en-GB"/>
        </w:rPr>
        <w:t>International Federation for Human Rights </w:t>
      </w:r>
    </w:p>
    <w:p w14:paraId="5638CBCC" w14:textId="77777777" w:rsidR="001D33E1" w:rsidRPr="00AD693E" w:rsidRDefault="001D33E1" w:rsidP="001D33E1">
      <w:pPr>
        <w:numPr>
          <w:ilvl w:val="0"/>
          <w:numId w:val="37"/>
        </w:numPr>
        <w:spacing w:after="0" w:line="264" w:lineRule="auto"/>
        <w:rPr>
          <w:noProof/>
          <w:lang w:val="en-IE" w:eastAsia="en-GB"/>
        </w:rPr>
      </w:pPr>
      <w:r w:rsidRPr="00AD693E">
        <w:rPr>
          <w:noProof/>
          <w:lang w:val="en-IE" w:eastAsia="en-GB"/>
        </w:rPr>
        <w:t>Philea - Philanthropy Europe Association </w:t>
      </w:r>
    </w:p>
    <w:p w14:paraId="5BEF37D6" w14:textId="77777777" w:rsidR="001D33E1" w:rsidRPr="00AD693E" w:rsidRDefault="001D33E1" w:rsidP="001D33E1">
      <w:pPr>
        <w:numPr>
          <w:ilvl w:val="0"/>
          <w:numId w:val="38"/>
        </w:numPr>
        <w:spacing w:after="0" w:line="264" w:lineRule="auto"/>
        <w:rPr>
          <w:noProof/>
        </w:rPr>
      </w:pPr>
      <w:r w:rsidRPr="00AD693E">
        <w:rPr>
          <w:noProof/>
          <w:lang w:val="en-IE" w:eastAsia="en-GB"/>
        </w:rPr>
        <w:t>Transparency International EU </w:t>
      </w:r>
    </w:p>
    <w:p w14:paraId="7C71BB12" w14:textId="77777777" w:rsidR="00CD604B" w:rsidRDefault="00CD604B" w:rsidP="00B51782">
      <w:pPr>
        <w:rPr>
          <w:noProof/>
        </w:rPr>
      </w:pPr>
    </w:p>
    <w:sectPr w:rsidR="00CD604B" w:rsidSect="001D33E1">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7590C" w14:textId="77777777" w:rsidR="003B3A08" w:rsidRDefault="003B3A08">
      <w:pPr>
        <w:spacing w:after="0"/>
      </w:pPr>
      <w:r>
        <w:separator/>
      </w:r>
    </w:p>
  </w:endnote>
  <w:endnote w:type="continuationSeparator" w:id="0">
    <w:p w14:paraId="633D7F20" w14:textId="77777777" w:rsidR="003B3A08" w:rsidRDefault="003B3A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87C46" w14:textId="4CE84EBA" w:rsidR="008303BA" w:rsidRPr="008303BA" w:rsidRDefault="008303BA" w:rsidP="008303BA">
    <w:pPr>
      <w:pStyle w:val="FooterCoverPage"/>
      <w:rPr>
        <w:rFonts w:ascii="Arial" w:hAnsi="Arial" w:cs="Arial"/>
        <w:b/>
        <w:sz w:val="48"/>
      </w:rPr>
    </w:pPr>
    <w:r w:rsidRPr="008303BA">
      <w:rPr>
        <w:rFonts w:ascii="Arial" w:hAnsi="Arial" w:cs="Arial"/>
        <w:b/>
        <w:sz w:val="48"/>
      </w:rPr>
      <w:t>EN</w:t>
    </w:r>
    <w:r w:rsidRPr="008303BA">
      <w:rPr>
        <w:rFonts w:ascii="Arial" w:hAnsi="Arial" w:cs="Arial"/>
        <w:b/>
        <w:sz w:val="48"/>
      </w:rPr>
      <w:tab/>
    </w:r>
    <w:r w:rsidRPr="008303BA">
      <w:rPr>
        <w:rFonts w:ascii="Arial" w:hAnsi="Arial" w:cs="Arial"/>
        <w:b/>
        <w:sz w:val="48"/>
      </w:rPr>
      <w:tab/>
    </w:r>
    <w:r w:rsidRPr="008303BA">
      <w:tab/>
    </w:r>
    <w:r w:rsidRPr="008303B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9E4B5" w14:textId="4DE67C50" w:rsidR="008303BA" w:rsidRPr="008303BA" w:rsidRDefault="008303BA" w:rsidP="008303BA">
    <w:pPr>
      <w:pStyle w:val="FooterCoverPage"/>
      <w:rPr>
        <w:rFonts w:ascii="Arial" w:hAnsi="Arial" w:cs="Arial"/>
        <w:b/>
        <w:sz w:val="48"/>
      </w:rPr>
    </w:pPr>
    <w:r w:rsidRPr="008303BA">
      <w:rPr>
        <w:rFonts w:ascii="Arial" w:hAnsi="Arial" w:cs="Arial"/>
        <w:b/>
        <w:sz w:val="48"/>
      </w:rPr>
      <w:t>EN</w:t>
    </w:r>
    <w:r w:rsidRPr="008303BA">
      <w:rPr>
        <w:rFonts w:ascii="Arial" w:hAnsi="Arial" w:cs="Arial"/>
        <w:b/>
        <w:sz w:val="48"/>
      </w:rPr>
      <w:tab/>
    </w:r>
    <w:r w:rsidRPr="008303BA">
      <w:rPr>
        <w:rFonts w:ascii="Arial" w:hAnsi="Arial" w:cs="Arial"/>
        <w:b/>
        <w:sz w:val="48"/>
      </w:rPr>
      <w:tab/>
    </w:r>
    <w:r w:rsidRPr="008303BA">
      <w:tab/>
    </w:r>
    <w:r w:rsidRPr="008303B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80733" w14:textId="77777777" w:rsidR="008303BA" w:rsidRPr="008303BA" w:rsidRDefault="008303BA" w:rsidP="008303B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8D2D0" w14:textId="77777777" w:rsidR="001D33E1" w:rsidRDefault="001D33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13B63360" w14:textId="17673134" w:rsidR="001D33E1" w:rsidRPr="001D33E1" w:rsidRDefault="001D33E1">
        <w:pPr>
          <w:pStyle w:val="Footer"/>
          <w:jc w:val="center"/>
          <w:rPr>
            <w:sz w:val="24"/>
            <w:szCs w:val="24"/>
          </w:rPr>
        </w:pPr>
        <w:r w:rsidRPr="001D33E1">
          <w:rPr>
            <w:sz w:val="24"/>
            <w:szCs w:val="24"/>
          </w:rPr>
          <w:fldChar w:fldCharType="begin"/>
        </w:r>
        <w:r w:rsidRPr="001D33E1">
          <w:rPr>
            <w:sz w:val="24"/>
            <w:szCs w:val="24"/>
          </w:rPr>
          <w:instrText xml:space="preserve"> PAGE   \* MERGEFORMAT </w:instrText>
        </w:r>
        <w:r w:rsidRPr="001D33E1">
          <w:rPr>
            <w:sz w:val="24"/>
            <w:szCs w:val="24"/>
          </w:rPr>
          <w:fldChar w:fldCharType="separate"/>
        </w:r>
        <w:r w:rsidR="008303BA">
          <w:rPr>
            <w:noProof/>
            <w:sz w:val="24"/>
            <w:szCs w:val="24"/>
          </w:rPr>
          <w:t>1</w:t>
        </w:r>
        <w:r w:rsidRPr="001D33E1">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6EF37BB8" w14:textId="77777777" w:rsidR="001D33E1" w:rsidRDefault="001D33E1">
        <w:pPr>
          <w:pStyle w:val="Footer"/>
          <w:jc w:val="center"/>
        </w:pPr>
      </w:p>
      <w:p w14:paraId="0DDE4246" w14:textId="77777777" w:rsidR="001D33E1" w:rsidRDefault="001D33E1">
        <w:pPr>
          <w:pStyle w:val="Footer"/>
          <w:jc w:val="center"/>
        </w:pPr>
      </w:p>
      <w:p w14:paraId="22A137CC" w14:textId="77777777" w:rsidR="001D33E1" w:rsidRDefault="001D33E1" w:rsidP="008660D1">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1DE641B6" w14:textId="77777777" w:rsidR="001D33E1" w:rsidRDefault="001D33E1"/>
  <w:p w14:paraId="2573AA3A" w14:textId="77777777" w:rsidR="001D33E1" w:rsidRDefault="001D33E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CEA8B" w14:textId="77777777" w:rsidR="003B3A08" w:rsidRDefault="003B3A08">
      <w:pPr>
        <w:spacing w:after="0"/>
      </w:pPr>
      <w:r>
        <w:separator/>
      </w:r>
    </w:p>
  </w:footnote>
  <w:footnote w:type="continuationSeparator" w:id="0">
    <w:p w14:paraId="2BC2C52D" w14:textId="77777777" w:rsidR="003B3A08" w:rsidRDefault="003B3A08">
      <w:pPr>
        <w:spacing w:after="0"/>
      </w:pPr>
      <w:r>
        <w:continuationSeparator/>
      </w:r>
    </w:p>
  </w:footnote>
  <w:footnote w:id="1">
    <w:p w14:paraId="78EED1DC" w14:textId="61FE6CB2" w:rsidR="001D33E1" w:rsidRPr="00230D53" w:rsidRDefault="001D33E1" w:rsidP="001D33E1">
      <w:pPr>
        <w:pStyle w:val="FootnoteText"/>
      </w:pPr>
      <w:r w:rsidRPr="00230D53">
        <w:rPr>
          <w:rStyle w:val="FootnoteReference"/>
        </w:rPr>
        <w:footnoteRef/>
      </w:r>
      <w:r w:rsidRPr="00230D53">
        <w:rPr>
          <w:rStyle w:val="FootnoteReference"/>
        </w:rPr>
        <w:tab/>
      </w:r>
      <w:r w:rsidRPr="00230D53">
        <w:t xml:space="preserve">An overview of the institutional framework for all four pillars can be found </w:t>
      </w:r>
      <w:hyperlink r:id="rId1" w:history="1">
        <w:r w:rsidR="00BA022D" w:rsidRPr="006D3DC9">
          <w:rPr>
            <w:rStyle w:val="Hyperlink"/>
            <w:lang w:val="en-US"/>
          </w:rPr>
          <w:t>here</w:t>
        </w:r>
      </w:hyperlink>
      <w:r w:rsidRPr="00230D53">
        <w:t>.</w:t>
      </w:r>
    </w:p>
  </w:footnote>
  <w:footnote w:id="2">
    <w:p w14:paraId="7CF5CD39" w14:textId="77777777" w:rsidR="001D33E1" w:rsidRPr="00AF6756" w:rsidRDefault="001D33E1" w:rsidP="001D33E1">
      <w:pPr>
        <w:pStyle w:val="FootnoteText"/>
      </w:pPr>
      <w:r w:rsidRPr="00AF6756">
        <w:rPr>
          <w:rStyle w:val="FootnoteReference"/>
        </w:rPr>
        <w:footnoteRef/>
      </w:r>
      <w:r w:rsidRPr="00AF6756">
        <w:t xml:space="preserve"> </w:t>
      </w:r>
      <w:r>
        <w:tab/>
      </w:r>
      <w:r w:rsidRPr="00AF6756">
        <w:t xml:space="preserve">Figures 48 and 50, 2026 EU Justice Scoreboard and Figures </w:t>
      </w:r>
      <w:r w:rsidRPr="00AF6756">
        <w:rPr>
          <w:lang w:val="bg-BG"/>
        </w:rPr>
        <w:t>51</w:t>
      </w:r>
      <w:r w:rsidRPr="00AF6756">
        <w:t xml:space="preserve"> and </w:t>
      </w:r>
      <w:r w:rsidRPr="00AF6756">
        <w:rPr>
          <w:lang w:val="bg-BG"/>
        </w:rPr>
        <w:t>53</w:t>
      </w:r>
      <w:r w:rsidRPr="00AF6756">
        <w:t xml:space="preserve">, </w:t>
      </w:r>
      <w:r w:rsidRPr="00AF6756">
        <w:rPr>
          <w:lang w:val="bg-BG"/>
        </w:rPr>
        <w:t>2024</w:t>
      </w:r>
      <w:r>
        <w:rPr>
          <w:lang w:val="cs-CZ"/>
        </w:rPr>
        <w:t xml:space="preserve"> </w:t>
      </w:r>
      <w:r w:rsidRPr="00AF6756">
        <w:t>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7CCEEEA0" w14:textId="77777777" w:rsidR="001D33E1" w:rsidRPr="00230D53" w:rsidRDefault="001D33E1" w:rsidP="001D33E1">
      <w:pPr>
        <w:pStyle w:val="FootnoteText"/>
      </w:pPr>
      <w:r w:rsidRPr="00230D53">
        <w:rPr>
          <w:rStyle w:val="FootnoteReference"/>
        </w:rPr>
        <w:footnoteRef/>
      </w:r>
      <w:r w:rsidRPr="00230D53">
        <w:t xml:space="preserve"> </w:t>
      </w:r>
      <w:r w:rsidRPr="00230D53">
        <w:tab/>
        <w:t>This applies if the candidate is already a judge.</w:t>
      </w:r>
    </w:p>
  </w:footnote>
  <w:footnote w:id="4">
    <w:p w14:paraId="29A5781F"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These safeguards are important as in the past, Parliament rejected several candidates for Supreme Court judges (three between 2018 and 2022 alone). 2025 Rule of Law Report, Slovenia, p. 4, and 2023 Rule of Law Report, Slovenia, p. 6. </w:t>
      </w:r>
    </w:p>
  </w:footnote>
  <w:footnote w:id="5">
    <w:p w14:paraId="4BFE0AD0" w14:textId="4E384408" w:rsidR="001D33E1" w:rsidRPr="00230D53" w:rsidRDefault="001D33E1" w:rsidP="001D33E1">
      <w:pPr>
        <w:pStyle w:val="FootnoteText"/>
      </w:pPr>
      <w:r w:rsidRPr="00230D53">
        <w:rPr>
          <w:rStyle w:val="FootnoteReference"/>
        </w:rPr>
        <w:footnoteRef/>
      </w:r>
      <w:r w:rsidRPr="00230D53">
        <w:t xml:space="preserve">  </w:t>
      </w:r>
      <w:r w:rsidRPr="00230D53">
        <w:tab/>
        <w:t xml:space="preserve">The Council’s decisions should contain an assessment </w:t>
      </w:r>
      <w:r>
        <w:t xml:space="preserve">on how </w:t>
      </w:r>
      <w:r w:rsidR="004F633B">
        <w:t xml:space="preserve">the selected </w:t>
      </w:r>
      <w:r>
        <w:t>candidates fulfil all eligibility criteria</w:t>
      </w:r>
      <w:r w:rsidRPr="00230D53">
        <w:t xml:space="preserve">. </w:t>
      </w:r>
      <w:r>
        <w:t>To prevent conflicts of interest, t</w:t>
      </w:r>
      <w:r w:rsidRPr="00230D53">
        <w:t xml:space="preserve">he reasons for withdrawal of Council members were expanded and the recusal procedure was specified, which now includes judicial review. </w:t>
      </w:r>
      <w:r>
        <w:t xml:space="preserve">Appointment of a </w:t>
      </w:r>
      <w:r w:rsidR="00A53922">
        <w:t xml:space="preserve">Judicial </w:t>
      </w:r>
      <w:r w:rsidRPr="00230D53">
        <w:rPr>
          <w:bCs/>
          <w:lang w:eastAsia="fr-FR"/>
        </w:rPr>
        <w:t xml:space="preserve">Council member as </w:t>
      </w:r>
      <w:r>
        <w:rPr>
          <w:bCs/>
          <w:lang w:eastAsia="fr-FR"/>
        </w:rPr>
        <w:t xml:space="preserve">a </w:t>
      </w:r>
      <w:r w:rsidRPr="00230D53">
        <w:rPr>
          <w:bCs/>
          <w:lang w:eastAsia="fr-FR"/>
        </w:rPr>
        <w:t xml:space="preserve">court president </w:t>
      </w:r>
      <w:r>
        <w:rPr>
          <w:bCs/>
          <w:lang w:eastAsia="fr-FR"/>
        </w:rPr>
        <w:t>or</w:t>
      </w:r>
      <w:r w:rsidRPr="00230D53">
        <w:rPr>
          <w:bCs/>
          <w:lang w:eastAsia="fr-FR"/>
        </w:rPr>
        <w:t xml:space="preserve"> vice-presidents</w:t>
      </w:r>
      <w:r>
        <w:rPr>
          <w:bCs/>
          <w:lang w:eastAsia="fr-FR"/>
        </w:rPr>
        <w:t xml:space="preserve"> is now a new ground for </w:t>
      </w:r>
      <w:r w:rsidR="004F3AFF">
        <w:rPr>
          <w:bCs/>
          <w:lang w:eastAsia="fr-FR"/>
        </w:rPr>
        <w:t xml:space="preserve">the termination of office of </w:t>
      </w:r>
      <w:r w:rsidR="00C62C29">
        <w:rPr>
          <w:bCs/>
          <w:lang w:eastAsia="fr-FR"/>
        </w:rPr>
        <w:t xml:space="preserve">a </w:t>
      </w:r>
      <w:r w:rsidR="004F3AFF">
        <w:rPr>
          <w:bCs/>
          <w:lang w:eastAsia="fr-FR"/>
        </w:rPr>
        <w:t>Judicial Council member</w:t>
      </w:r>
      <w:r w:rsidRPr="00230D53">
        <w:rPr>
          <w:bCs/>
          <w:lang w:eastAsia="fr-FR"/>
        </w:rPr>
        <w:t xml:space="preserve">. </w:t>
      </w:r>
      <w:r>
        <w:t>A</w:t>
      </w:r>
      <w:r w:rsidRPr="00230D53">
        <w:t>rticles 14, 30, 30a, and 35 of the Judicial Council Act. Slovenian Government (2026), written input, pp. 2-3.</w:t>
      </w:r>
    </w:p>
  </w:footnote>
  <w:footnote w:id="6">
    <w:p w14:paraId="6BF1A753" w14:textId="77777777" w:rsidR="001D33E1" w:rsidRPr="00230D53" w:rsidRDefault="001D33E1" w:rsidP="001D33E1">
      <w:pPr>
        <w:pStyle w:val="FootnoteText"/>
      </w:pPr>
      <w:r w:rsidRPr="00230D53">
        <w:rPr>
          <w:rStyle w:val="FootnoteReference"/>
        </w:rPr>
        <w:footnoteRef/>
      </w:r>
      <w:r w:rsidRPr="00230D53">
        <w:t xml:space="preserve">  </w:t>
      </w:r>
      <w:r w:rsidRPr="00230D53">
        <w:tab/>
        <w:t>Previously, the term of Council members was renewable, but not consecutively. The amendments introduced judicial protection of the right of judges to elect and be elected as Council members.</w:t>
      </w:r>
    </w:p>
  </w:footnote>
  <w:footnote w:id="7">
    <w:p w14:paraId="30AD0C38" w14:textId="77777777" w:rsidR="001D33E1" w:rsidRPr="00230D53" w:rsidRDefault="001D33E1" w:rsidP="001D33E1">
      <w:pPr>
        <w:pStyle w:val="FootnoteText"/>
      </w:pPr>
      <w:r w:rsidRPr="00230D53">
        <w:rPr>
          <w:rStyle w:val="FootnoteReference"/>
        </w:rPr>
        <w:footnoteRef/>
      </w:r>
      <w:r w:rsidRPr="00230D53">
        <w:t xml:space="preserve">  </w:t>
      </w:r>
      <w:r w:rsidRPr="00230D53">
        <w:tab/>
        <w:t>Art. 105, Judges Act allows for review before the Supreme Court, acting as the highest administrative court.</w:t>
      </w:r>
    </w:p>
  </w:footnote>
  <w:footnote w:id="8">
    <w:p w14:paraId="79BA9DED" w14:textId="6FB8564A" w:rsidR="001D33E1" w:rsidRPr="00230D53" w:rsidRDefault="001D33E1" w:rsidP="001D33E1">
      <w:pPr>
        <w:pStyle w:val="FootnoteText"/>
      </w:pPr>
      <w:r w:rsidRPr="00230D53">
        <w:rPr>
          <w:rStyle w:val="FootnoteReference"/>
        </w:rPr>
        <w:footnoteRef/>
      </w:r>
      <w:r w:rsidRPr="00230D53">
        <w:t xml:space="preserve">  </w:t>
      </w:r>
      <w:r w:rsidRPr="00230D53">
        <w:tab/>
        <w:t>Art. 17, Judges Act. Judicial Council (2026</w:t>
      </w:r>
      <w:r w:rsidR="00D26A72">
        <w:t>a</w:t>
      </w:r>
      <w:r w:rsidRPr="00230D53">
        <w:t>), additional written input, p. 2.</w:t>
      </w:r>
    </w:p>
  </w:footnote>
  <w:footnote w:id="9">
    <w:p w14:paraId="07498849" w14:textId="77777777" w:rsidR="001D33E1" w:rsidRPr="002E4A5C" w:rsidRDefault="001D33E1" w:rsidP="001D33E1">
      <w:pPr>
        <w:pStyle w:val="FootnoteText"/>
        <w:rPr>
          <w:lang w:val="en-IE"/>
        </w:rPr>
      </w:pPr>
      <w:r>
        <w:rPr>
          <w:rStyle w:val="FootnoteReference"/>
        </w:rPr>
        <w:footnoteRef/>
      </w:r>
      <w:r>
        <w:t xml:space="preserve"> </w:t>
      </w:r>
      <w:r>
        <w:rPr>
          <w:lang w:val="en-IE"/>
        </w:rPr>
        <w:t xml:space="preserve"> </w:t>
      </w:r>
      <w:r>
        <w:rPr>
          <w:lang w:val="en-IE"/>
        </w:rPr>
        <w:tab/>
        <w:t>For more details see 2024 Rule of Law Report, Slovenia, pp. 4-5.</w:t>
      </w:r>
    </w:p>
  </w:footnote>
  <w:footnote w:id="10">
    <w:p w14:paraId="2AFDFD50" w14:textId="77777777" w:rsidR="001D33E1" w:rsidRPr="00230D53" w:rsidRDefault="001D33E1" w:rsidP="001D33E1">
      <w:pPr>
        <w:pStyle w:val="FootnoteText"/>
      </w:pPr>
      <w:r w:rsidRPr="00230D53">
        <w:rPr>
          <w:rStyle w:val="FootnoteReference"/>
        </w:rPr>
        <w:footnoteRef/>
      </w:r>
      <w:r w:rsidRPr="00230D53">
        <w:t xml:space="preserve">  </w:t>
      </w:r>
      <w:r w:rsidRPr="00230D53">
        <w:tab/>
        <w:t>2024 Rule of Law Report, Slovenia, pp. 4-5.</w:t>
      </w:r>
      <w:r>
        <w:t xml:space="preserve"> Initiative to start the disciplinary proceedings can be submitted by the court president, president of the higher court and the minister of justice. Article 45(2) of the Judicial Council Act.</w:t>
      </w:r>
    </w:p>
  </w:footnote>
  <w:footnote w:id="11">
    <w:p w14:paraId="6CEBA0A7" w14:textId="0DD352D7" w:rsidR="001D33E1" w:rsidRPr="00230D53" w:rsidRDefault="001D33E1" w:rsidP="001D33E1">
      <w:pPr>
        <w:pStyle w:val="FootnoteText"/>
      </w:pPr>
      <w:r w:rsidRPr="00230D53">
        <w:rPr>
          <w:rStyle w:val="FootnoteReference"/>
        </w:rPr>
        <w:footnoteRef/>
      </w:r>
      <w:r w:rsidRPr="00230D53">
        <w:t xml:space="preserve">  </w:t>
      </w:r>
      <w:r w:rsidRPr="00230D53">
        <w:tab/>
        <w:t>Judicial Council (2026</w:t>
      </w:r>
      <w:r w:rsidR="00D26A72">
        <w:t>a</w:t>
      </w:r>
      <w:r w:rsidRPr="00230D53">
        <w:t>), additional written input, p. 1.</w:t>
      </w:r>
    </w:p>
  </w:footnote>
  <w:footnote w:id="12">
    <w:p w14:paraId="267F2885" w14:textId="77777777" w:rsidR="001D33E1" w:rsidRPr="00230D53" w:rsidRDefault="001D33E1" w:rsidP="001D33E1">
      <w:pPr>
        <w:pStyle w:val="FootnoteText"/>
      </w:pPr>
      <w:r w:rsidRPr="00230D53">
        <w:rPr>
          <w:rStyle w:val="FootnoteReference"/>
        </w:rPr>
        <w:footnoteRef/>
      </w:r>
      <w:r w:rsidRPr="00230D53">
        <w:t xml:space="preserve">  </w:t>
      </w:r>
      <w:r w:rsidRPr="00230D53">
        <w:tab/>
      </w:r>
      <w:r>
        <w:t xml:space="preserve">In April 2026, a person was convicted to a 6,5-year jail sentence for threatening a court president in 2024. </w:t>
      </w:r>
      <w:r w:rsidRPr="00230D53">
        <w:t>2025 Rule of Law Report, Slovenia, pp. 4-5.</w:t>
      </w:r>
      <w:r>
        <w:t xml:space="preserve"> </w:t>
      </w:r>
    </w:p>
  </w:footnote>
  <w:footnote w:id="13">
    <w:p w14:paraId="774247E9" w14:textId="77777777" w:rsidR="001D33E1" w:rsidRPr="00230D53" w:rsidRDefault="001D33E1" w:rsidP="001D33E1">
      <w:pPr>
        <w:pStyle w:val="FootnoteText"/>
      </w:pPr>
      <w:r w:rsidRPr="00230D53">
        <w:rPr>
          <w:rStyle w:val="FootnoteReference"/>
        </w:rPr>
        <w:footnoteRef/>
      </w:r>
      <w:r w:rsidRPr="00230D53">
        <w:t xml:space="preserve">  </w:t>
      </w:r>
      <w:r w:rsidRPr="00230D53">
        <w:tab/>
        <w:t>Slovenian Government (2026), written input, p. 4.</w:t>
      </w:r>
    </w:p>
  </w:footnote>
  <w:footnote w:id="14">
    <w:p w14:paraId="44CDAE6E" w14:textId="4E0D0639" w:rsidR="001D33E1" w:rsidRPr="002E4A5C" w:rsidRDefault="001D33E1" w:rsidP="001D33E1">
      <w:pPr>
        <w:pStyle w:val="FootnoteText"/>
        <w:rPr>
          <w:lang w:val="en-IE"/>
        </w:rPr>
      </w:pPr>
      <w:r>
        <w:rPr>
          <w:rStyle w:val="FootnoteReference"/>
        </w:rPr>
        <w:footnoteRef/>
      </w:r>
      <w:r>
        <w:t xml:space="preserve"> </w:t>
      </w:r>
      <w:r>
        <w:rPr>
          <w:lang w:val="en-IE"/>
        </w:rPr>
        <w:t xml:space="preserve"> </w:t>
      </w:r>
      <w:r>
        <w:rPr>
          <w:lang w:val="en-IE"/>
        </w:rPr>
        <w:tab/>
        <w:t xml:space="preserve">Draft amendments to the </w:t>
      </w:r>
      <w:r w:rsidRPr="002178DF">
        <w:t>Regulation on the protection of certain persons, premises, facilities, and surroundings of facilities protected by the police</w:t>
      </w:r>
      <w:r>
        <w:t xml:space="preserve">. Slovenian Government (2026a), additional written input, p. 6. Additionally, revision of the </w:t>
      </w:r>
      <w:r w:rsidRPr="001722AB">
        <w:t>Rules on the Determination of Security Standards for Court Operations</w:t>
      </w:r>
      <w:r>
        <w:t xml:space="preserve"> and of the Court Rules of Procedure is envisaged.</w:t>
      </w:r>
    </w:p>
  </w:footnote>
  <w:footnote w:id="15">
    <w:p w14:paraId="21A9844F" w14:textId="7F1DC29D" w:rsidR="001D33E1" w:rsidRPr="00230D53" w:rsidRDefault="001D33E1" w:rsidP="001D33E1">
      <w:pPr>
        <w:pStyle w:val="FootnoteText"/>
      </w:pPr>
      <w:r w:rsidRPr="00230D53">
        <w:rPr>
          <w:rStyle w:val="FootnoteReference"/>
        </w:rPr>
        <w:footnoteRef/>
      </w:r>
      <w:r w:rsidRPr="00230D53">
        <w:t xml:space="preserve">  </w:t>
      </w:r>
      <w:r w:rsidRPr="00230D53">
        <w:tab/>
        <w:t>Slovenian Government (2026), written input, p. 2, and Judicial Council (2026</w:t>
      </w:r>
      <w:r w:rsidR="00D26A72">
        <w:t>a</w:t>
      </w:r>
      <w:r w:rsidRPr="00230D53">
        <w:t>), additional written input, p. 1.</w:t>
      </w:r>
    </w:p>
  </w:footnote>
  <w:footnote w:id="16">
    <w:p w14:paraId="13A80670" w14:textId="32A8653E" w:rsidR="00004C6B" w:rsidRPr="00230D53" w:rsidRDefault="00004C6B" w:rsidP="00004C6B">
      <w:pPr>
        <w:pStyle w:val="FootnoteText"/>
      </w:pPr>
      <w:r w:rsidRPr="00230D53">
        <w:rPr>
          <w:rStyle w:val="FootnoteReference"/>
        </w:rPr>
        <w:footnoteRef/>
      </w:r>
      <w:r w:rsidRPr="00230D53">
        <w:t xml:space="preserve">  </w:t>
      </w:r>
      <w:r w:rsidRPr="00230D53">
        <w:tab/>
        <w:t>Supreme Court (2026</w:t>
      </w:r>
      <w:r w:rsidR="00EB0C15">
        <w:t>c</w:t>
      </w:r>
      <w:r w:rsidRPr="00230D53">
        <w:t>), additional written input, p. 5.</w:t>
      </w:r>
    </w:p>
  </w:footnote>
  <w:footnote w:id="17">
    <w:p w14:paraId="300BAEA9" w14:textId="77777777" w:rsidR="00004C6B" w:rsidRPr="00230D53" w:rsidRDefault="00004C6B" w:rsidP="00004C6B">
      <w:pPr>
        <w:pStyle w:val="FootnoteText"/>
      </w:pPr>
      <w:r w:rsidRPr="00230D53">
        <w:rPr>
          <w:rStyle w:val="FootnoteReference"/>
        </w:rPr>
        <w:footnoteRef/>
      </w:r>
      <w:r w:rsidRPr="00230D53">
        <w:t xml:space="preserve"> </w:t>
      </w:r>
      <w:r w:rsidRPr="00230D53">
        <w:tab/>
        <w:t>Slovenian Government (2026), written input, p. 2.</w:t>
      </w:r>
    </w:p>
  </w:footnote>
  <w:footnote w:id="18">
    <w:p w14:paraId="7FDCCA66" w14:textId="77777777" w:rsidR="001D33E1" w:rsidRPr="00230D53" w:rsidRDefault="001D33E1" w:rsidP="001D33E1">
      <w:pPr>
        <w:pStyle w:val="FootnoteText"/>
      </w:pPr>
      <w:r w:rsidRPr="00230D53">
        <w:rPr>
          <w:rStyle w:val="FootnoteReference"/>
        </w:rPr>
        <w:footnoteRef/>
      </w:r>
      <w:r w:rsidRPr="00230D53">
        <w:t xml:space="preserve">  </w:t>
      </w:r>
      <w:r w:rsidRPr="00230D53">
        <w:tab/>
        <w:t>For example, in February 2026, the Higher Court in Ljubljana, based on a report by investigative journalists and request of the Judicial Council, examined the allocation of several criminal cases concerning a mayor and did not find any irregularities. Higher Court of Ljubljana (2026). In November 2025, the Judicial Council dismissed the Ljubljana District Court President in the function of court president due to breaches of case allocation rules. Judicial Council (2025).</w:t>
      </w:r>
    </w:p>
  </w:footnote>
  <w:footnote w:id="19">
    <w:p w14:paraId="544DAB08"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Currently, the court system has 55 first instance courts (44 Local Courts and 11 District Courts). 2024 Rule of Law Report, Slovenia, p. 10. </w:t>
      </w:r>
    </w:p>
  </w:footnote>
  <w:footnote w:id="20">
    <w:p w14:paraId="42A73509" w14:textId="6D7A6689" w:rsidR="001D33E1" w:rsidRPr="00230D53" w:rsidRDefault="001D33E1" w:rsidP="001D33E1">
      <w:pPr>
        <w:pStyle w:val="FootnoteText"/>
      </w:pPr>
      <w:r w:rsidRPr="00230D53">
        <w:rPr>
          <w:rStyle w:val="FootnoteReference"/>
        </w:rPr>
        <w:footnoteRef/>
      </w:r>
      <w:r w:rsidRPr="00230D53">
        <w:t xml:space="preserve">  </w:t>
      </w:r>
      <w:r w:rsidRPr="00230D53">
        <w:tab/>
        <w:t>Slovenian Government (2026), written input, p. 2.</w:t>
      </w:r>
    </w:p>
  </w:footnote>
  <w:footnote w:id="21">
    <w:p w14:paraId="23AA8006"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230D53">
        <w:rPr>
          <w:lang w:eastAsia="fr-FR"/>
        </w:rPr>
        <w:t>The act has introduced mandatory internal audits of the court administration every three years, shortened the term of court presidents (from six to five years) with the possibility of one reappointment at the same court, and enabled the suspension of a court president.</w:t>
      </w:r>
    </w:p>
  </w:footnote>
  <w:footnote w:id="22">
    <w:p w14:paraId="5EFE3348" w14:textId="77777777" w:rsidR="001D33E1" w:rsidRPr="00230D53" w:rsidRDefault="001D33E1" w:rsidP="001D33E1">
      <w:pPr>
        <w:pStyle w:val="FootnoteText"/>
      </w:pPr>
      <w:r w:rsidRPr="00230D53">
        <w:rPr>
          <w:rStyle w:val="FootnoteReference"/>
        </w:rPr>
        <w:footnoteRef/>
      </w:r>
      <w:r w:rsidRPr="00230D53">
        <w:t xml:space="preserve">  </w:t>
      </w:r>
      <w:r w:rsidRPr="00230D53">
        <w:tab/>
        <w:t>The judges may challenge the annual work schedule before the Personnel Council of the Higher Court.</w:t>
      </w:r>
    </w:p>
  </w:footnote>
  <w:footnote w:id="23">
    <w:p w14:paraId="59022779" w14:textId="33C0104D" w:rsidR="001D33E1" w:rsidRPr="00230D53" w:rsidRDefault="001D33E1" w:rsidP="001D33E1">
      <w:pPr>
        <w:pStyle w:val="FootnoteText"/>
      </w:pPr>
      <w:r w:rsidRPr="00230D53">
        <w:rPr>
          <w:rStyle w:val="FootnoteReference"/>
        </w:rPr>
        <w:footnoteRef/>
      </w:r>
      <w:r w:rsidRPr="00230D53">
        <w:t xml:space="preserve">  </w:t>
      </w:r>
      <w:r w:rsidRPr="00230D53">
        <w:tab/>
        <w:t>According to the Judicial Council, the issue is exacerbated by the fact that</w:t>
      </w:r>
      <w:r w:rsidRPr="00230D53">
        <w:rPr>
          <w:lang w:eastAsia="fr-FR"/>
        </w:rPr>
        <w:t xml:space="preserve"> none of the procedural acts have so far been amended which means that the existing provisions on the subject-matter and territorial jurisdiction of the courts remain in force. </w:t>
      </w:r>
      <w:r w:rsidRPr="00230D53">
        <w:t>Judicial Council (2026</w:t>
      </w:r>
      <w:r w:rsidR="00D26A72">
        <w:t>a</w:t>
      </w:r>
      <w:r w:rsidRPr="00230D53">
        <w:t>), additional written input, p. 1.</w:t>
      </w:r>
    </w:p>
  </w:footnote>
  <w:footnote w:id="24">
    <w:p w14:paraId="42B13063" w14:textId="77777777" w:rsidR="001D33E1" w:rsidRPr="00230D53" w:rsidRDefault="001D33E1" w:rsidP="001D33E1">
      <w:pPr>
        <w:pStyle w:val="FootnoteText"/>
      </w:pPr>
      <w:r w:rsidRPr="00230D53">
        <w:rPr>
          <w:rStyle w:val="FootnoteReference"/>
        </w:rPr>
        <w:footnoteRef/>
      </w:r>
      <w:r w:rsidRPr="00230D53">
        <w:t xml:space="preserve">  </w:t>
      </w:r>
      <w:r w:rsidRPr="00230D53">
        <w:tab/>
        <w:t>Supreme Court (2026c), additional written input, and Supreme Court (2026d).</w:t>
      </w:r>
    </w:p>
  </w:footnote>
  <w:footnote w:id="25">
    <w:p w14:paraId="229A213B"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230D53">
        <w:rPr>
          <w:lang w:eastAsia="fr-FR"/>
        </w:rPr>
        <w:t xml:space="preserve">Local state prosecutors will become District state prosecutors. </w:t>
      </w:r>
      <w:r w:rsidRPr="00230D53">
        <w:t>State prosecutors of all ranks (also Higher and Supreme) will be able to appear before District Courts. Slovenian Government (2026), written input, p. 3.</w:t>
      </w:r>
      <w:r>
        <w:t xml:space="preserve"> The 2025 Rule of Law Report, Slovenia (p. 7) mentioned p</w:t>
      </w:r>
      <w:r w:rsidRPr="00412D9E">
        <w:t xml:space="preserve">lans to </w:t>
      </w:r>
      <w:r w:rsidRPr="00231877">
        <w:t xml:space="preserve">transfer the power to promote </w:t>
      </w:r>
      <w:r>
        <w:t>s</w:t>
      </w:r>
      <w:r w:rsidRPr="00231877">
        <w:t>tate prosecutors from the Government to the State Prosecutorial Council</w:t>
      </w:r>
      <w:r>
        <w:t xml:space="preserve"> -</w:t>
      </w:r>
      <w:r w:rsidRPr="00231877">
        <w:t xml:space="preserve"> </w:t>
      </w:r>
      <w:r>
        <w:t xml:space="preserve">they have been postponed for the next revision. Country visit Slovenia, Ministry of Justice. In March </w:t>
      </w:r>
      <w:r w:rsidRPr="00B60238">
        <w:t>202</w:t>
      </w:r>
      <w:r>
        <w:t>6</w:t>
      </w:r>
      <w:r w:rsidRPr="00B60238">
        <w:t xml:space="preserve">, </w:t>
      </w:r>
      <w:r>
        <w:t>238</w:t>
      </w:r>
      <w:r w:rsidRPr="00B60238">
        <w:t xml:space="preserve"> out of 268 </w:t>
      </w:r>
      <w:r>
        <w:t>s</w:t>
      </w:r>
      <w:r w:rsidRPr="00B60238">
        <w:t xml:space="preserve">tate prosecutor posts were occupied </w:t>
      </w:r>
      <w:r>
        <w:t xml:space="preserve">(up from </w:t>
      </w:r>
      <w:r w:rsidRPr="00B60238">
        <w:t>216</w:t>
      </w:r>
      <w:r>
        <w:t xml:space="preserve"> at year-end 2024). Slovenian Government (2026a), additional written input.</w:t>
      </w:r>
    </w:p>
  </w:footnote>
  <w:footnote w:id="26">
    <w:p w14:paraId="0DF9910E" w14:textId="77777777" w:rsidR="001D33E1" w:rsidRPr="00230D53" w:rsidRDefault="001D33E1" w:rsidP="001D33E1">
      <w:pPr>
        <w:pStyle w:val="FootnoteText"/>
      </w:pPr>
      <w:r w:rsidRPr="00230D53">
        <w:rPr>
          <w:rStyle w:val="FootnoteReference"/>
        </w:rPr>
        <w:footnoteRef/>
      </w:r>
      <w:r w:rsidRPr="00230D53">
        <w:t xml:space="preserve">  </w:t>
      </w:r>
      <w:r w:rsidRPr="00230D53">
        <w:tab/>
        <w:t>Figures 39-47, 2026 EU Justice Scoreboard.</w:t>
      </w:r>
    </w:p>
  </w:footnote>
  <w:footnote w:id="27">
    <w:p w14:paraId="3A3E778A" w14:textId="504951C7" w:rsidR="001D33E1" w:rsidRPr="00230D53" w:rsidRDefault="001D33E1" w:rsidP="001D33E1">
      <w:pPr>
        <w:pStyle w:val="FootnoteText"/>
      </w:pPr>
      <w:r w:rsidRPr="00230D53">
        <w:rPr>
          <w:rStyle w:val="FootnoteReference"/>
        </w:rPr>
        <w:footnoteRef/>
      </w:r>
      <w:r w:rsidRPr="00230D53">
        <w:t xml:space="preserve">  </w:t>
      </w:r>
      <w:r w:rsidRPr="00230D53">
        <w:tab/>
        <w:t xml:space="preserve">In December 2025, a digitalised workflow was introduced also in the Administrative Court. </w:t>
      </w:r>
      <w:r w:rsidR="00DC58F8" w:rsidRPr="00DC58F8">
        <w:t>Since 1 December 2025, court users have been able to file and receive documents electronically in administrative disputes before the Administrative Court. This follows the Order determining the date from which electronic filing and electronic service of documents may be used in administrative disputes in proceedings before the Administrative Court.</w:t>
      </w:r>
      <w:r w:rsidR="00DC58F8">
        <w:t xml:space="preserve"> </w:t>
      </w:r>
      <w:r w:rsidRPr="00230D53">
        <w:t>Improvements can be seen particularly in figures 44 and 45 of the 2026 EU Justice Scoreboard.</w:t>
      </w:r>
    </w:p>
  </w:footnote>
  <w:footnote w:id="28">
    <w:p w14:paraId="097CBE7B" w14:textId="6F540DAA" w:rsidR="001D33E1" w:rsidRPr="00230D53" w:rsidRDefault="001D33E1" w:rsidP="001D33E1">
      <w:pPr>
        <w:pStyle w:val="FootnoteText"/>
      </w:pPr>
      <w:r w:rsidRPr="00230D53">
        <w:rPr>
          <w:rStyle w:val="FootnoteReference"/>
        </w:rPr>
        <w:footnoteRef/>
      </w:r>
      <w:r w:rsidRPr="00230D53">
        <w:t xml:space="preserve">  </w:t>
      </w:r>
      <w:r w:rsidRPr="00230D53">
        <w:tab/>
        <w:t>Supreme Court (2026a).</w:t>
      </w:r>
      <w:r w:rsidR="003A4EDF">
        <w:t xml:space="preserve"> </w:t>
      </w:r>
      <w:r w:rsidR="003A4EDF" w:rsidRPr="003A4EDF">
        <w:t>This follows the Order determining the date from which electronic filing and electronic service of documents may be used in all civil judicial proceedings before courts of general jurisdiction at first instance</w:t>
      </w:r>
      <w:r w:rsidR="003A4EDF">
        <w:t>.</w:t>
      </w:r>
    </w:p>
  </w:footnote>
  <w:footnote w:id="29">
    <w:p w14:paraId="11A423E4"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Slovenian Government (2026), written input, p. 5, and Supreme Court (2026b). The project was </w:t>
      </w:r>
      <w:r w:rsidRPr="00230D53">
        <w:rPr>
          <w:lang w:eastAsia="fr-FR"/>
        </w:rPr>
        <w:t>supported by t</w:t>
      </w:r>
      <w:r w:rsidRPr="00230D53">
        <w:t>he target 105 under the Recovery and Resilience Plan. The target is part of the seventh, and last payment request due to be submitted by the Slovenian authorities by 31 August 2026 and has therefore not yet been assessed by the Commission.</w:t>
      </w:r>
    </w:p>
  </w:footnote>
  <w:footnote w:id="30">
    <w:p w14:paraId="6101A5F0"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The Central Documentation Digitisation Centre will be operational from June 2026. Supreme Court (2026a). E-Sessions tool will facilitate the </w:t>
      </w:r>
      <w:r w:rsidRPr="00230D53">
        <w:rPr>
          <w:lang w:eastAsia="fr-FR"/>
        </w:rPr>
        <w:t xml:space="preserve">overview of case-load, sharing of documents </w:t>
      </w:r>
      <w:r w:rsidRPr="00230D53">
        <w:rPr>
          <w:bCs/>
          <w:lang w:eastAsia="fr-FR"/>
        </w:rPr>
        <w:t xml:space="preserve">and drafting </w:t>
      </w:r>
      <w:r>
        <w:rPr>
          <w:bCs/>
          <w:lang w:eastAsia="fr-FR"/>
        </w:rPr>
        <w:t xml:space="preserve">of </w:t>
      </w:r>
      <w:r w:rsidRPr="00230D53">
        <w:rPr>
          <w:bCs/>
          <w:lang w:eastAsia="fr-FR"/>
        </w:rPr>
        <w:t xml:space="preserve">judgments. </w:t>
      </w:r>
      <w:r w:rsidRPr="00230D53">
        <w:rPr>
          <w:lang w:eastAsia="fr-FR"/>
        </w:rPr>
        <w:t>Knowledge database will include an AI assisted research</w:t>
      </w:r>
      <w:r>
        <w:rPr>
          <w:bCs/>
          <w:lang w:eastAsia="fr-FR"/>
        </w:rPr>
        <w:t>/</w:t>
      </w:r>
      <w:r w:rsidRPr="00230D53">
        <w:rPr>
          <w:lang w:eastAsia="fr-FR"/>
        </w:rPr>
        <w:t>legal</w:t>
      </w:r>
      <w:r>
        <w:rPr>
          <w:bCs/>
          <w:lang w:eastAsia="fr-FR"/>
        </w:rPr>
        <w:t>/keyword identification</w:t>
      </w:r>
      <w:r w:rsidRPr="00230D53">
        <w:rPr>
          <w:lang w:eastAsia="fr-FR"/>
        </w:rPr>
        <w:t xml:space="preserve"> analysis tool</w:t>
      </w:r>
      <w:r>
        <w:rPr>
          <w:lang w:eastAsia="fr-FR"/>
        </w:rPr>
        <w:t>s</w:t>
      </w:r>
      <w:r>
        <w:rPr>
          <w:bCs/>
          <w:lang w:eastAsia="fr-FR"/>
        </w:rPr>
        <w:t>.</w:t>
      </w:r>
      <w:r w:rsidRPr="00230D53">
        <w:rPr>
          <w:bCs/>
          <w:lang w:eastAsia="fr-FR"/>
        </w:rPr>
        <w:t xml:space="preserve"> </w:t>
      </w:r>
      <w:r w:rsidRPr="00230D53">
        <w:t>Th</w:t>
      </w:r>
      <w:r>
        <w:t>is</w:t>
      </w:r>
      <w:r w:rsidRPr="00230D53">
        <w:t xml:space="preserve"> </w:t>
      </w:r>
      <w:r>
        <w:t>was</w:t>
      </w:r>
      <w:r w:rsidRPr="00230D53">
        <w:rPr>
          <w:lang w:eastAsia="fr-FR"/>
        </w:rPr>
        <w:t xml:space="preserve"> supported by t</w:t>
      </w:r>
      <w:r w:rsidRPr="00230D53">
        <w:t>he target 105 under the Recovery and Resilience Plan</w:t>
      </w:r>
      <w:r>
        <w:t>, not yet assessed by the Commission</w:t>
      </w:r>
      <w:r w:rsidRPr="00230D53">
        <w:t>. Slovenian Government (2026), written input, pp. 5-6.</w:t>
      </w:r>
    </w:p>
  </w:footnote>
  <w:footnote w:id="31">
    <w:p w14:paraId="1747C64D"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230D53">
        <w:rPr>
          <w:lang w:eastAsia="fr-FR"/>
        </w:rPr>
        <w:t>Figure 43,</w:t>
      </w:r>
      <w:r w:rsidRPr="00230D53">
        <w:t xml:space="preserve"> 2026 EU Justice Scoreboard. Integrating AI is </w:t>
      </w:r>
      <w:r w:rsidRPr="00230D53">
        <w:rPr>
          <w:lang w:eastAsia="fr-FR"/>
        </w:rPr>
        <w:t>a project of the Supreme State Prosecution Office supported by t</w:t>
      </w:r>
      <w:r w:rsidRPr="00230D53">
        <w:t>he target 105 under the Recovery and Resilience Plan</w:t>
      </w:r>
      <w:r>
        <w:t xml:space="preserve">, which </w:t>
      </w:r>
      <w:r w:rsidRPr="00230D53">
        <w:rPr>
          <w:lang w:eastAsia="fr-FR"/>
        </w:rPr>
        <w:t xml:space="preserve">is part of the last payment request due by 31 August 2026, and has therefore not yet been assessed by the Commission. The AI would be used only as a support tool for prosecutors to draft and retrieve information in complex cases. </w:t>
      </w:r>
      <w:r w:rsidRPr="00230D53">
        <w:t>Slovenian Government (2026), written input, pp. 4 and 6.</w:t>
      </w:r>
    </w:p>
  </w:footnote>
  <w:footnote w:id="32">
    <w:p w14:paraId="378F30D8" w14:textId="77777777" w:rsidR="001D33E1" w:rsidRPr="00230D53" w:rsidRDefault="001D33E1" w:rsidP="001D33E1">
      <w:pPr>
        <w:pStyle w:val="FootnoteText"/>
      </w:pPr>
      <w:r w:rsidRPr="00230D53">
        <w:rPr>
          <w:rStyle w:val="FootnoteReference"/>
        </w:rPr>
        <w:footnoteRef/>
      </w:r>
      <w:r w:rsidRPr="00230D53">
        <w:t xml:space="preserve">  </w:t>
      </w:r>
      <w:r w:rsidRPr="00230D53">
        <w:tab/>
        <w:t>Slovenian Government (2026), written input, p. 6.</w:t>
      </w:r>
    </w:p>
  </w:footnote>
  <w:footnote w:id="33">
    <w:p w14:paraId="0B51A324"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230D53">
        <w:rPr>
          <w:lang w:eastAsia="fr-FR"/>
        </w:rPr>
        <w:t xml:space="preserve">As of 15 December 2025, the exchange covers the entire territory, apart from the Ljubljana District State Prosecution Office (less complex cases only), the Specialised State Prosecution Office and the National Bureau of Investigation. </w:t>
      </w:r>
      <w:r w:rsidRPr="00230D53">
        <w:t>Slovenian Government (2026), written input, p. 6.</w:t>
      </w:r>
    </w:p>
  </w:footnote>
  <w:footnote w:id="34">
    <w:p w14:paraId="55EC594B" w14:textId="77777777" w:rsidR="001D33E1" w:rsidRPr="00230D53" w:rsidRDefault="001D33E1" w:rsidP="001D33E1">
      <w:pPr>
        <w:pStyle w:val="FootnoteText"/>
      </w:pPr>
      <w:r w:rsidRPr="00230D53">
        <w:rPr>
          <w:rStyle w:val="FootnoteReference"/>
        </w:rPr>
        <w:footnoteRef/>
      </w:r>
      <w:r w:rsidRPr="00230D53">
        <w:t xml:space="preserve">  </w:t>
      </w:r>
      <w:r w:rsidRPr="00230D53">
        <w:tab/>
        <w:t>Figure 46 in the 2026 EU Justice Scoreboard shows that the rate of publication of judgments is among the lowest in the EU.</w:t>
      </w:r>
    </w:p>
  </w:footnote>
  <w:footnote w:id="35">
    <w:p w14:paraId="672A7B71" w14:textId="77777777" w:rsidR="001D33E1" w:rsidRPr="00230D53" w:rsidRDefault="001D33E1" w:rsidP="001D33E1">
      <w:pPr>
        <w:pStyle w:val="FootnoteText"/>
      </w:pPr>
      <w:r w:rsidRPr="00230D53">
        <w:rPr>
          <w:rStyle w:val="FootnoteReference"/>
        </w:rPr>
        <w:footnoteRef/>
      </w:r>
      <w:r w:rsidRPr="00230D53">
        <w:t xml:space="preserve">  </w:t>
      </w:r>
      <w:r w:rsidRPr="00230D53">
        <w:tab/>
        <w:t>2025 Rule of Law Report, Slovenia, pp. 6-7.</w:t>
      </w:r>
    </w:p>
  </w:footnote>
  <w:footnote w:id="36">
    <w:p w14:paraId="63CE9F26"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230D53">
        <w:rPr>
          <w:szCs w:val="24"/>
          <w:lang w:eastAsia="fr-FR"/>
        </w:rPr>
        <w:t>If no agreement is reached through negotiations, salary grades will be by law automatically adjusted by 80% of the increase in the cost of living.</w:t>
      </w:r>
    </w:p>
  </w:footnote>
  <w:footnote w:id="37">
    <w:p w14:paraId="08BC73BD" w14:textId="77777777" w:rsidR="001D33E1" w:rsidRPr="00230D53" w:rsidRDefault="001D33E1" w:rsidP="001D33E1">
      <w:pPr>
        <w:pStyle w:val="FootnoteText"/>
      </w:pPr>
      <w:r w:rsidRPr="00230D53">
        <w:rPr>
          <w:rStyle w:val="FootnoteReference"/>
        </w:rPr>
        <w:footnoteRef/>
      </w:r>
      <w:r w:rsidRPr="00230D53">
        <w:t xml:space="preserve">  </w:t>
      </w:r>
      <w:r w:rsidRPr="00230D53">
        <w:tab/>
        <w:t>Judicial Council (2026b).</w:t>
      </w:r>
      <w:r>
        <w:t xml:space="preserve"> </w:t>
      </w:r>
      <w:r w:rsidRPr="00230D53">
        <w:rPr>
          <w:szCs w:val="24"/>
          <w:lang w:eastAsia="fr-FR"/>
        </w:rPr>
        <w:t>The Association of Judges further raised concerns about the mechanism for indexation of salaries</w:t>
      </w:r>
      <w:r>
        <w:rPr>
          <w:szCs w:val="24"/>
          <w:lang w:eastAsia="fr-FR"/>
        </w:rPr>
        <w:t xml:space="preserve">. </w:t>
      </w:r>
      <w:r>
        <w:t>It argued that</w:t>
      </w:r>
      <w:r w:rsidRPr="00DB0B8E">
        <w:t xml:space="preserve"> negotiations of trade unions with the Government may lead to improvements only for certain categories of public officials, while judges’ salaries might remain unchanged</w:t>
      </w:r>
      <w:r>
        <w:t>.</w:t>
      </w:r>
      <w:r w:rsidRPr="003A272D">
        <w:t xml:space="preserve"> </w:t>
      </w:r>
      <w:r w:rsidRPr="00230D53">
        <w:t>Country visit Slovenia, Association of Judges.</w:t>
      </w:r>
    </w:p>
  </w:footnote>
  <w:footnote w:id="38">
    <w:p w14:paraId="40B0C199"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Bar Association.</w:t>
      </w:r>
    </w:p>
  </w:footnote>
  <w:footnote w:id="39">
    <w:p w14:paraId="57FFDD4D" w14:textId="77777777" w:rsidR="001D33E1" w:rsidRPr="00230D53" w:rsidRDefault="001D33E1" w:rsidP="001D33E1">
      <w:pPr>
        <w:pStyle w:val="FootnoteText"/>
      </w:pPr>
      <w:r w:rsidRPr="00230D53">
        <w:rPr>
          <w:rStyle w:val="FootnoteReference"/>
        </w:rPr>
        <w:footnoteRef/>
      </w:r>
      <w:r w:rsidRPr="00230D53">
        <w:t xml:space="preserve">  </w:t>
      </w:r>
      <w:r w:rsidRPr="00230D53">
        <w:tab/>
      </w:r>
      <w:r>
        <w:t>Judgment of t</w:t>
      </w:r>
      <w:r w:rsidRPr="00230D53">
        <w:t>he Administrative Court of 22 October 2024</w:t>
      </w:r>
      <w:r>
        <w:t>,</w:t>
      </w:r>
      <w:r w:rsidRPr="00230D53">
        <w:t xml:space="preserve"> U-I-2199-2024-22. Bar Association (2026), additional written input.</w:t>
      </w:r>
    </w:p>
  </w:footnote>
  <w:footnote w:id="40">
    <w:p w14:paraId="0DD9C132" w14:textId="77777777" w:rsidR="001D33E1" w:rsidRPr="00230D53" w:rsidRDefault="001D33E1" w:rsidP="001D33E1">
      <w:pPr>
        <w:pStyle w:val="FootnoteText"/>
      </w:pPr>
      <w:r w:rsidRPr="00230D53">
        <w:rPr>
          <w:rStyle w:val="FootnoteReference"/>
        </w:rPr>
        <w:footnoteRef/>
      </w:r>
      <w:r w:rsidRPr="00230D53">
        <w:t xml:space="preserve">  </w:t>
      </w:r>
      <w:r w:rsidRPr="00230D53">
        <w:tab/>
      </w:r>
      <w:r>
        <w:t xml:space="preserve">In 2024, the estimated time for resolving litigious civil and commercial cases increased to 355 days (344 in 2023), and for administrative cases decreased to 570 days (627 in 2023). </w:t>
      </w:r>
      <w:r w:rsidRPr="00230D53">
        <w:t>Figures 1-14, 2026 EU Justice Scoreboard.</w:t>
      </w:r>
    </w:p>
  </w:footnote>
  <w:footnote w:id="41">
    <w:p w14:paraId="75D5560E" w14:textId="680FBA11" w:rsidR="001D33E1" w:rsidRPr="00230D53" w:rsidRDefault="001D33E1" w:rsidP="001D33E1">
      <w:pPr>
        <w:pStyle w:val="FootnoteText"/>
      </w:pPr>
      <w:r w:rsidRPr="00230D53">
        <w:rPr>
          <w:rStyle w:val="FootnoteReference"/>
        </w:rPr>
        <w:footnoteRef/>
      </w:r>
      <w:r w:rsidRPr="00230D53">
        <w:t xml:space="preserve">  </w:t>
      </w:r>
      <w:r w:rsidRPr="00230D53">
        <w:tab/>
        <w:t>See 2025 Rule of Law Report, Slovenia, p. 8, on Supreme Court’s measures resulting in an increase in the number of resolved cases. All 2025 court data provided by Supreme Court (2026</w:t>
      </w:r>
      <w:r w:rsidR="00EB0C15">
        <w:t>c</w:t>
      </w:r>
      <w:r w:rsidRPr="00230D53">
        <w:t>), written input, p. 2.</w:t>
      </w:r>
    </w:p>
  </w:footnote>
  <w:footnote w:id="42">
    <w:p w14:paraId="14534E73" w14:textId="2D9DBF3E" w:rsidR="001D33E1" w:rsidRPr="00FC7EAA" w:rsidRDefault="001D33E1" w:rsidP="001D33E1">
      <w:pPr>
        <w:pStyle w:val="FootnoteText"/>
        <w:rPr>
          <w:lang w:val="en-IE"/>
        </w:rPr>
      </w:pPr>
      <w:r>
        <w:rPr>
          <w:rStyle w:val="FootnoteReference"/>
        </w:rPr>
        <w:footnoteRef/>
      </w:r>
      <w:r>
        <w:t xml:space="preserve"> </w:t>
      </w:r>
      <w:r>
        <w:rPr>
          <w:lang w:val="en-IE"/>
        </w:rPr>
        <w:t xml:space="preserve"> </w:t>
      </w:r>
      <w:r>
        <w:rPr>
          <w:lang w:val="en-IE"/>
        </w:rPr>
        <w:tab/>
        <w:t xml:space="preserve">Currently, the court hearings are spread out and could be months apart. However, court presidents have limited powers to encourage concentrated hearings over several days and the Judicial Council would likely need to adjust </w:t>
      </w:r>
      <w:r w:rsidRPr="00730799">
        <w:t>the standards regarding the expected amount of work for judges when it decides on the</w:t>
      </w:r>
      <w:r>
        <w:t>ir</w:t>
      </w:r>
      <w:r w:rsidRPr="00730799">
        <w:t xml:space="preserve"> promotion</w:t>
      </w:r>
      <w:r>
        <w:t>.</w:t>
      </w:r>
      <w:r w:rsidRPr="00730799">
        <w:t xml:space="preserve"> </w:t>
      </w:r>
      <w:r>
        <w:rPr>
          <w:lang w:val="en-IE"/>
        </w:rPr>
        <w:t>Country visit Slovenia, Supreme Court, and Supreme Court (2026</w:t>
      </w:r>
      <w:r w:rsidR="00D02613">
        <w:rPr>
          <w:lang w:val="en-IE"/>
        </w:rPr>
        <w:t>c</w:t>
      </w:r>
      <w:r>
        <w:rPr>
          <w:lang w:val="en-IE"/>
        </w:rPr>
        <w:t>), additional written input.</w:t>
      </w:r>
    </w:p>
  </w:footnote>
  <w:footnote w:id="43">
    <w:p w14:paraId="5AF552E4" w14:textId="3E61FC49" w:rsidR="001D33E1" w:rsidRPr="00230D53" w:rsidRDefault="001D33E1" w:rsidP="001D33E1">
      <w:pPr>
        <w:pStyle w:val="FootnoteText"/>
      </w:pPr>
      <w:r w:rsidRPr="00230D53">
        <w:rPr>
          <w:rStyle w:val="FootnoteReference"/>
        </w:rPr>
        <w:footnoteRef/>
      </w:r>
      <w:r w:rsidRPr="00230D53">
        <w:t xml:space="preserve">  </w:t>
      </w:r>
      <w:r w:rsidRPr="00230D53">
        <w:tab/>
        <w:t>In 2025, the average length at district courts was 24,9 months in large value civil cases (25,7 months in 2024, 13 months in litigious commercial cases, and 22,9 months in more serious criminal cases (20,7 in 2024). Supreme Court (2026</w:t>
      </w:r>
      <w:r w:rsidR="00EB0C15">
        <w:t>c</w:t>
      </w:r>
      <w:r w:rsidRPr="00230D53">
        <w:t>), written input, p. 2.</w:t>
      </w:r>
    </w:p>
  </w:footnote>
  <w:footnote w:id="44">
    <w:p w14:paraId="1079C8C0" w14:textId="77777777" w:rsidR="001D33E1" w:rsidRPr="00230D53" w:rsidRDefault="001D33E1" w:rsidP="001D33E1">
      <w:pPr>
        <w:pStyle w:val="FootnoteText"/>
      </w:pPr>
      <w:r w:rsidRPr="00230D53">
        <w:rPr>
          <w:rStyle w:val="FootnoteReference"/>
        </w:rPr>
        <w:footnoteRef/>
      </w:r>
      <w:r w:rsidRPr="00230D53">
        <w:t xml:space="preserve">  </w:t>
      </w:r>
      <w:r w:rsidRPr="00230D53">
        <w:tab/>
        <w:t>Figures 20 and 21, 2026 EU Justice Scoreboard.</w:t>
      </w:r>
    </w:p>
  </w:footnote>
  <w:footnote w:id="45">
    <w:p w14:paraId="2B173203" w14:textId="77777777" w:rsidR="001D33E1" w:rsidRPr="00230D53" w:rsidRDefault="001D33E1" w:rsidP="001D33E1">
      <w:pPr>
        <w:pStyle w:val="FootnoteText"/>
      </w:pPr>
      <w:r w:rsidRPr="00230D53">
        <w:rPr>
          <w:rStyle w:val="FootnoteReference"/>
        </w:rPr>
        <w:footnoteRef/>
      </w:r>
      <w:r w:rsidRPr="00230D53">
        <w:t xml:space="preserve"> </w:t>
      </w:r>
      <w:r w:rsidRPr="00230D53">
        <w:tab/>
        <w:t>While Parliament in 2025 rejected the constitutional amendments which aimed to reduce the Constitutional Court’s caseload, the Constitutional Court allowed the review of spatial planning acts before the administrative courts to continue, while ordering Parliament to resolve the constitutionality issue within one year. 2025 Rule of Law Report, Slovenia, p. 19. See also 2024 Rule of Law Report, Slovenia, p. 31; and 2023 Rule of Law Report, Slovenia, p. 30.</w:t>
      </w:r>
    </w:p>
  </w:footnote>
  <w:footnote w:id="46">
    <w:p w14:paraId="33E662C6" w14:textId="1AEEAE3B" w:rsidR="001D33E1" w:rsidRPr="00230D53" w:rsidRDefault="001D33E1" w:rsidP="001D33E1">
      <w:pPr>
        <w:pStyle w:val="FootnoteText"/>
      </w:pPr>
      <w:r w:rsidRPr="00230D53">
        <w:rPr>
          <w:rStyle w:val="FootnoteReference"/>
        </w:rPr>
        <w:footnoteRef/>
      </w:r>
      <w:r w:rsidRPr="00230D53">
        <w:t xml:space="preserve"> </w:t>
      </w:r>
      <w:r w:rsidRPr="00230D53">
        <w:tab/>
      </w:r>
      <w:r>
        <w:t xml:space="preserve">In 2025, the Constitutional Court received 1 056 cases (1 330 in 2024). It resolved 12% more cases than in 2024. </w:t>
      </w:r>
      <w:r w:rsidRPr="00230D53">
        <w:t xml:space="preserve">At year-end 2025, the Court had </w:t>
      </w:r>
      <w:r w:rsidRPr="002E4A5C">
        <w:t>874</w:t>
      </w:r>
      <w:r w:rsidRPr="00230D53">
        <w:t xml:space="preserve"> pending cases (1 17</w:t>
      </w:r>
      <w:r w:rsidR="00AB19E3">
        <w:t>3</w:t>
      </w:r>
      <w:r w:rsidRPr="00230D53">
        <w:t xml:space="preserve"> year-end 2024)</w:t>
      </w:r>
      <w:r>
        <w:t>, of which</w:t>
      </w:r>
      <w:r w:rsidRPr="00230D53">
        <w:t xml:space="preserve">, a total of </w:t>
      </w:r>
      <w:r w:rsidR="00AB19E3">
        <w:t>27</w:t>
      </w:r>
      <w:r w:rsidR="00AB19E3" w:rsidRPr="00230D53">
        <w:t xml:space="preserve"> </w:t>
      </w:r>
      <w:r w:rsidRPr="00230D53">
        <w:t xml:space="preserve">cases older than two years remained pending (79 at year-end 2024). This is a notable improvement, as at the end of 2021, there were 553 cases pending that were up to 5 years old. </w:t>
      </w:r>
      <w:r w:rsidR="000E1390" w:rsidRPr="000E1390">
        <w:t>Data provided by the Constitutional Court</w:t>
      </w:r>
      <w:r w:rsidR="000E1390">
        <w:t>.</w:t>
      </w:r>
      <w:r w:rsidR="000E1390" w:rsidRPr="000E1390">
        <w:t xml:space="preserve"> </w:t>
      </w:r>
    </w:p>
  </w:footnote>
  <w:footnote w:id="47">
    <w:p w14:paraId="28681CEC" w14:textId="32CBB522" w:rsidR="001D33E1" w:rsidRPr="00230D53" w:rsidRDefault="001D33E1" w:rsidP="001D33E1">
      <w:pPr>
        <w:pStyle w:val="FootnoteText"/>
      </w:pPr>
      <w:r w:rsidRPr="00230D53">
        <w:rPr>
          <w:rStyle w:val="FootnoteReference"/>
        </w:rPr>
        <w:footnoteRef/>
      </w:r>
      <w:r w:rsidRPr="00230D53">
        <w:t xml:space="preserve"> </w:t>
      </w:r>
      <w:r w:rsidRPr="00230D53">
        <w:tab/>
      </w:r>
      <w:r w:rsidR="000E1390" w:rsidRPr="000E1390">
        <w:t>Data provided by the Constitutional Court</w:t>
      </w:r>
      <w:r w:rsidR="000E1390">
        <w:t>.</w:t>
      </w:r>
    </w:p>
  </w:footnote>
  <w:footnote w:id="48">
    <w:p w14:paraId="3D2A5F27" w14:textId="77777777" w:rsidR="001D33E1" w:rsidRPr="00230D53" w:rsidRDefault="001D33E1" w:rsidP="001D33E1">
      <w:pPr>
        <w:pStyle w:val="FootnoteText"/>
      </w:pPr>
      <w:r w:rsidRPr="00230D53">
        <w:rPr>
          <w:rStyle w:val="FootnoteReference"/>
        </w:rPr>
        <w:footnoteRef/>
      </w:r>
      <w:r w:rsidRPr="00230D53">
        <w:t xml:space="preserve"> </w:t>
      </w:r>
      <w:r w:rsidRPr="00230D53">
        <w:tab/>
        <w:t>2025 Rule of Law Report, Slovenia, pp. 19-20.</w:t>
      </w:r>
    </w:p>
  </w:footnote>
  <w:footnote w:id="49">
    <w:p w14:paraId="1D9137B5"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Constitutional Court.</w:t>
      </w:r>
    </w:p>
  </w:footnote>
  <w:footnote w:id="50">
    <w:p w14:paraId="6712DABE" w14:textId="77777777" w:rsidR="001D33E1" w:rsidRPr="00974262" w:rsidRDefault="001D33E1" w:rsidP="001D33E1">
      <w:pPr>
        <w:pStyle w:val="FootnoteText"/>
        <w:rPr>
          <w:lang w:val="en-IE"/>
        </w:rPr>
      </w:pPr>
      <w:r>
        <w:rPr>
          <w:rStyle w:val="FootnoteReference"/>
        </w:rPr>
        <w:footnoteRef/>
      </w:r>
      <w:r>
        <w:t xml:space="preserve"> </w:t>
      </w:r>
      <w:r>
        <w:tab/>
        <w:t>T</w:t>
      </w:r>
      <w:r w:rsidRPr="0031309A">
        <w:t>he level of perceived corruption is categori</w:t>
      </w:r>
      <w:r>
        <w:t>s</w:t>
      </w:r>
      <w:r w:rsidRPr="0031309A">
        <w:t xml:space="preserve">ed as follows: low (above </w:t>
      </w:r>
      <w:r>
        <w:t>79</w:t>
      </w:r>
      <w:r w:rsidRPr="0031309A">
        <w:t>); relatively low (between 79-6</w:t>
      </w:r>
      <w:r>
        <w:t>0</w:t>
      </w:r>
      <w:r w:rsidRPr="0031309A">
        <w:t xml:space="preserve">), relatively high (between </w:t>
      </w:r>
      <w:r>
        <w:t>59-50</w:t>
      </w:r>
      <w:r w:rsidRPr="0031309A">
        <w:t xml:space="preserve">), high (below </w:t>
      </w:r>
      <w:r>
        <w:t>50</w:t>
      </w:r>
      <w:r w:rsidRPr="0031309A">
        <w:t>).</w:t>
      </w:r>
    </w:p>
  </w:footnote>
  <w:footnote w:id="51">
    <w:p w14:paraId="595E8982" w14:textId="77777777" w:rsidR="001D33E1" w:rsidRPr="00974262" w:rsidRDefault="001D33E1" w:rsidP="001D33E1">
      <w:pPr>
        <w:pStyle w:val="FootnoteText"/>
        <w:rPr>
          <w:lang w:val="en-IE"/>
        </w:rPr>
      </w:pPr>
      <w:r>
        <w:rPr>
          <w:rStyle w:val="FootnoteReference"/>
        </w:rPr>
        <w:footnoteRef/>
      </w:r>
      <w:r>
        <w:t xml:space="preserve"> </w:t>
      </w:r>
      <w:r>
        <w:tab/>
      </w:r>
      <w:r>
        <w:rPr>
          <w:lang w:val="en-IE"/>
        </w:rPr>
        <w:t>In 2021 the score was 57, while, in 2025, the score is 58</w:t>
      </w:r>
      <w:r w:rsidRPr="0031309A">
        <w:rPr>
          <w:lang w:val="en-IE"/>
        </w:rPr>
        <w:t xml:space="preserve">. The score significantly increases/decreases when it changes more than five points; improves/deteriorates (changes between 4-5 points); </w:t>
      </w:r>
      <w:r>
        <w:rPr>
          <w:lang w:val="en-IE"/>
        </w:rPr>
        <w:t>has been</w:t>
      </w:r>
      <w:r w:rsidRPr="0031309A">
        <w:rPr>
          <w:lang w:val="en-IE"/>
        </w:rPr>
        <w:t xml:space="preserve"> relatively stable (changes from 1-3 points) in the last five years.</w:t>
      </w:r>
    </w:p>
  </w:footnote>
  <w:footnote w:id="52">
    <w:p w14:paraId="1ACE1BF1" w14:textId="77777777" w:rsidR="001D33E1" w:rsidRPr="005100AE" w:rsidRDefault="001D33E1" w:rsidP="001D33E1">
      <w:pPr>
        <w:pStyle w:val="FootnoteText"/>
      </w:pPr>
      <w:r w:rsidRPr="005100AE">
        <w:rPr>
          <w:rStyle w:val="FootnoteReference"/>
          <w:lang w:val="en-IE"/>
        </w:rPr>
        <w:footnoteRef/>
      </w:r>
      <w:r w:rsidRPr="005100AE">
        <w:t xml:space="preserve"> </w:t>
      </w:r>
      <w:r w:rsidRPr="005100AE">
        <w:tab/>
      </w:r>
      <w:r>
        <w:t xml:space="preserve">Data from </w:t>
      </w:r>
      <w:r w:rsidRPr="005100AE">
        <w:t xml:space="preserve">Special </w:t>
      </w:r>
      <w:r w:rsidRPr="00ED45FC">
        <w:t>Eurobarometer 573 (2026) and Flash Eurobarometer 582 (2026).</w:t>
      </w:r>
      <w:r w:rsidRPr="005100AE">
        <w:t xml:space="preserve"> </w:t>
      </w:r>
    </w:p>
  </w:footnote>
  <w:footnote w:id="53">
    <w:p w14:paraId="7012AC9D"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CPC (2026), </w:t>
      </w:r>
      <w:r>
        <w:t xml:space="preserve">2025 Annual Report, </w:t>
      </w:r>
      <w:r w:rsidRPr="00230D53">
        <w:t xml:space="preserve">p. </w:t>
      </w:r>
      <w:r>
        <w:t>64 and following</w:t>
      </w:r>
      <w:r w:rsidRPr="00230D53">
        <w:t>.</w:t>
      </w:r>
      <w:r>
        <w:t xml:space="preserve"> The first reporting on the implementation of the measures of the Action Plan was completed in February 2026. According to CPC, it received 1150 reports: 18 from ministries, 127 from municipalities, 34 from health centres and hospitals, 49 from administrative units and 12 from inspectorates. </w:t>
      </w:r>
      <w:r>
        <w:rPr>
          <w:lang w:eastAsia="fr-FR"/>
        </w:rPr>
        <w:t>The</w:t>
      </w:r>
      <w:r w:rsidRPr="15CFD903">
        <w:rPr>
          <w:lang w:eastAsia="fr-FR"/>
        </w:rPr>
        <w:t xml:space="preserve"> </w:t>
      </w:r>
      <w:r>
        <w:rPr>
          <w:lang w:eastAsia="fr-FR"/>
        </w:rPr>
        <w:t>CPC underlined the lack of concrete indications of the activities performed in 2025 and that reporting by authorities is overly general.</w:t>
      </w:r>
    </w:p>
  </w:footnote>
  <w:footnote w:id="54">
    <w:p w14:paraId="1774E87E" w14:textId="77777777" w:rsidR="001D33E1" w:rsidRPr="00230D53" w:rsidRDefault="001D33E1" w:rsidP="001D33E1">
      <w:pPr>
        <w:pStyle w:val="FootnoteText"/>
      </w:pPr>
      <w:r w:rsidRPr="00230D53">
        <w:rPr>
          <w:rStyle w:val="FootnoteReference"/>
        </w:rPr>
        <w:footnoteRef/>
      </w:r>
      <w:r w:rsidRPr="00230D53">
        <w:t xml:space="preserve"> </w:t>
      </w:r>
      <w:r w:rsidRPr="00230D53">
        <w:tab/>
        <w:t>The 2025 Rule of Law Report recommended Slovenia to ‘take further measures to ensure a track record of investigations, prosecutions and final judgments in corruption offences, including in high-level cases’. Some progress was previously assessed on this recommendation in 202</w:t>
      </w:r>
      <w:r>
        <w:t>4</w:t>
      </w:r>
      <w:r w:rsidRPr="00230D53">
        <w:t xml:space="preserve"> and 202</w:t>
      </w:r>
      <w:r>
        <w:t>5</w:t>
      </w:r>
      <w:r w:rsidRPr="00230D53">
        <w:t>.</w:t>
      </w:r>
    </w:p>
  </w:footnote>
  <w:footnote w:id="55">
    <w:p w14:paraId="7B07DB26"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In 2025, state prosecutors requested investigative judges to conduct 138 investigations (12 in 2024 and 89 in 2023) and launched 104 indictments (13 in 2024, 33 in 2023) on corruption. Courts adjudicated 44 corruption cases at first instance (15 in 2024 and 29 in 2023). Slovenian Government (2026), written input, p. 12. </w:t>
      </w:r>
    </w:p>
  </w:footnote>
  <w:footnote w:id="56">
    <w:p w14:paraId="776F358A" w14:textId="77777777" w:rsidR="001D33E1" w:rsidRPr="00230D53" w:rsidRDefault="001D33E1" w:rsidP="001D33E1">
      <w:pPr>
        <w:pStyle w:val="FootnoteText"/>
      </w:pPr>
      <w:r w:rsidRPr="00230D53">
        <w:rPr>
          <w:rStyle w:val="FootnoteReference"/>
        </w:rPr>
        <w:footnoteRef/>
      </w:r>
      <w:r w:rsidRPr="00230D53">
        <w:t xml:space="preserve"> </w:t>
      </w:r>
      <w:r w:rsidRPr="00230D53">
        <w:tab/>
        <w:t>These</w:t>
      </w:r>
      <w:r w:rsidRPr="00230D53" w:rsidDel="009B5B3A">
        <w:t xml:space="preserve"> </w:t>
      </w:r>
      <w:r w:rsidRPr="00230D53">
        <w:t xml:space="preserve">data relate to three large cases with 10-40 convicted persons in each, concerning falsified COVID-19 vaccination certificates, healthcare equipment procurement, and falsified technical inspection </w:t>
      </w:r>
      <w:r>
        <w:t xml:space="preserve">of vehicles </w:t>
      </w:r>
      <w:r w:rsidRPr="00230D53">
        <w:t>certificates. Country visit Slovenia, Specialised State Prosecution Office.</w:t>
      </w:r>
    </w:p>
  </w:footnote>
  <w:footnote w:id="57">
    <w:p w14:paraId="0065EF57"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In October 2025, the Specialised State Prosecution Office dropped the prosecution against a former minister for alleged abuse of office. Country visit Slovenia, Specialised State Prosecution Office. </w:t>
      </w:r>
    </w:p>
  </w:footnote>
  <w:footnote w:id="58">
    <w:p w14:paraId="619B87FD" w14:textId="77777777" w:rsidR="001D33E1" w:rsidRPr="00203ED8" w:rsidRDefault="001D33E1" w:rsidP="001D33E1">
      <w:pPr>
        <w:pStyle w:val="FootnoteText"/>
        <w:rPr>
          <w:lang w:val="en-IE"/>
        </w:rPr>
      </w:pPr>
      <w:r>
        <w:rPr>
          <w:rStyle w:val="FootnoteReference"/>
        </w:rPr>
        <w:footnoteRef/>
      </w:r>
      <w:r>
        <w:t xml:space="preserve"> </w:t>
      </w:r>
      <w:r>
        <w:rPr>
          <w:lang w:val="en-IE"/>
        </w:rPr>
        <w:t xml:space="preserve"> </w:t>
      </w:r>
      <w:r>
        <w:rPr>
          <w:lang w:val="en-IE"/>
        </w:rPr>
        <w:tab/>
      </w:r>
      <w:r>
        <w:t xml:space="preserve">In March </w:t>
      </w:r>
      <w:r w:rsidRPr="00B60238">
        <w:t>202</w:t>
      </w:r>
      <w:r>
        <w:t>6</w:t>
      </w:r>
      <w:r w:rsidRPr="00B60238">
        <w:t xml:space="preserve">, </w:t>
      </w:r>
      <w:r>
        <w:t>238</w:t>
      </w:r>
      <w:r w:rsidRPr="00B60238">
        <w:t xml:space="preserve"> out of 268 </w:t>
      </w:r>
      <w:r>
        <w:t>s</w:t>
      </w:r>
      <w:r w:rsidRPr="00B60238">
        <w:t xml:space="preserve">tate prosecutor posts were occupied </w:t>
      </w:r>
      <w:r>
        <w:t xml:space="preserve">(up from </w:t>
      </w:r>
      <w:r w:rsidRPr="00B60238">
        <w:t>216</w:t>
      </w:r>
      <w:r>
        <w:t xml:space="preserve"> at year-end 2024). Slovenian Government (2026a), additional written input.</w:t>
      </w:r>
      <w:r>
        <w:rPr>
          <w:lang w:val="en-IE"/>
        </w:rPr>
        <w:t xml:space="preserve"> See above, section on Quality of justice system, paragraph on the judicial map reform.</w:t>
      </w:r>
    </w:p>
  </w:footnote>
  <w:footnote w:id="59">
    <w:p w14:paraId="26BCD545" w14:textId="77777777" w:rsidR="001D33E1" w:rsidRPr="002E4A5C" w:rsidRDefault="001D33E1" w:rsidP="001D33E1">
      <w:pPr>
        <w:pStyle w:val="FootnoteText"/>
      </w:pPr>
      <w:r w:rsidRPr="00230D53">
        <w:rPr>
          <w:rStyle w:val="FootnoteReference"/>
        </w:rPr>
        <w:footnoteRef/>
      </w:r>
      <w:r w:rsidRPr="00230D53">
        <w:t xml:space="preserve">  </w:t>
      </w:r>
      <w:r w:rsidRPr="00230D53">
        <w:tab/>
        <w:t>It concerned a former director of a public agency. Country visit Slovenia, Specialised State Prosecution Office. 2025 Rule of Law Report, Slovenia, p. 10; 2024 Rule of Law Report, Slovenia, p. 14.</w:t>
      </w:r>
    </w:p>
  </w:footnote>
  <w:footnote w:id="60">
    <w:p w14:paraId="354E908F"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A90DEF">
        <w:rPr>
          <w:szCs w:val="24"/>
          <w:lang w:eastAsia="fr-FR"/>
        </w:rPr>
        <w:t>77%</w:t>
      </w:r>
      <w:r>
        <w:rPr>
          <w:szCs w:val="24"/>
          <w:lang w:eastAsia="fr-FR"/>
        </w:rPr>
        <w:t xml:space="preserve"> of</w:t>
      </w:r>
      <w:r w:rsidRPr="00A90DEF">
        <w:rPr>
          <w:szCs w:val="24"/>
          <w:lang w:eastAsia="fr-FR"/>
        </w:rPr>
        <w:t xml:space="preserve"> criminal complaints and supplementary reports filed for corruption offences </w:t>
      </w:r>
      <w:r>
        <w:rPr>
          <w:szCs w:val="24"/>
          <w:lang w:eastAsia="fr-FR"/>
        </w:rPr>
        <w:t xml:space="preserve">are </w:t>
      </w:r>
      <w:r w:rsidRPr="00A90DEF">
        <w:rPr>
          <w:szCs w:val="24"/>
          <w:lang w:eastAsia="fr-FR"/>
        </w:rPr>
        <w:t xml:space="preserve">detected </w:t>
      </w:r>
      <w:r>
        <w:rPr>
          <w:szCs w:val="24"/>
          <w:lang w:eastAsia="fr-FR"/>
        </w:rPr>
        <w:t xml:space="preserve">by </w:t>
      </w:r>
      <w:r w:rsidRPr="00A90DEF">
        <w:rPr>
          <w:szCs w:val="24"/>
          <w:lang w:eastAsia="fr-FR"/>
        </w:rPr>
        <w:t>the police</w:t>
      </w:r>
      <w:r>
        <w:rPr>
          <w:szCs w:val="24"/>
          <w:lang w:eastAsia="fr-FR"/>
        </w:rPr>
        <w:t xml:space="preserve">. The General Police Directorate informed that about 30 police officers investigate corruption offences, while around 100 would be needed. </w:t>
      </w:r>
      <w:r w:rsidRPr="00230D53">
        <w:t xml:space="preserve">Country visit Slovenia, National Bureau of Investigation and General Police Directorate (Economic Crime </w:t>
      </w:r>
      <w:r>
        <w:t>D</w:t>
      </w:r>
      <w:r w:rsidRPr="00230D53">
        <w:t>ivision).</w:t>
      </w:r>
    </w:p>
  </w:footnote>
  <w:footnote w:id="61">
    <w:p w14:paraId="220C8548" w14:textId="77777777" w:rsidR="001D33E1" w:rsidRPr="00DB768A" w:rsidRDefault="001D33E1" w:rsidP="001D33E1">
      <w:pPr>
        <w:pStyle w:val="FootnoteText"/>
      </w:pPr>
      <w:r>
        <w:rPr>
          <w:rStyle w:val="FootnoteReference"/>
        </w:rPr>
        <w:footnoteRef/>
      </w:r>
      <w:r>
        <w:t xml:space="preserve"> </w:t>
      </w:r>
      <w:r>
        <w:tab/>
      </w:r>
      <w:r w:rsidRPr="00030BCB">
        <w:t xml:space="preserve">Data concerns </w:t>
      </w:r>
      <w:bookmarkStart w:id="5" w:name="_Hlk223423839"/>
      <w:r w:rsidRPr="002E4A5C">
        <w:rPr>
          <w:iCs/>
        </w:rPr>
        <w:t>criminal offences against official duty and public authority and related to active and passive bribery of public officials and persons vested with public authority in the areas of administrative procedures, public procurement procedures</w:t>
      </w:r>
      <w:bookmarkEnd w:id="5"/>
      <w:r w:rsidRPr="002E4A5C">
        <w:rPr>
          <w:iCs/>
        </w:rPr>
        <w:t>, police procedures, and the regulation of forestry activities</w:t>
      </w:r>
      <w:r w:rsidRPr="00030BCB">
        <w:rPr>
          <w:iCs/>
        </w:rPr>
        <w:t xml:space="preserve">. Figures are below the </w:t>
      </w:r>
      <w:r w:rsidRPr="002E4A5C">
        <w:rPr>
          <w:iCs/>
        </w:rPr>
        <w:t>ten-year average of 147.8</w:t>
      </w:r>
      <w:r w:rsidRPr="00030BCB">
        <w:rPr>
          <w:iCs/>
        </w:rPr>
        <w:t xml:space="preserve"> </w:t>
      </w:r>
      <w:r>
        <w:rPr>
          <w:iCs/>
        </w:rPr>
        <w:t>cases</w:t>
      </w:r>
      <w:r w:rsidRPr="00030BCB">
        <w:rPr>
          <w:iCs/>
        </w:rPr>
        <w:t xml:space="preserve"> per year (695 in 2024</w:t>
      </w:r>
      <w:r>
        <w:rPr>
          <w:iCs/>
        </w:rPr>
        <w:t>, where several open and major cases were concluded by the police;</w:t>
      </w:r>
      <w:r w:rsidRPr="00030BCB">
        <w:rPr>
          <w:iCs/>
        </w:rPr>
        <w:t xml:space="preserve"> 212 in 2023). </w:t>
      </w:r>
      <w:r>
        <w:rPr>
          <w:iCs/>
        </w:rPr>
        <w:t>General Police Directorate</w:t>
      </w:r>
      <w:r w:rsidRPr="00030BCB">
        <w:rPr>
          <w:iCs/>
        </w:rPr>
        <w:t xml:space="preserve"> </w:t>
      </w:r>
      <w:r>
        <w:rPr>
          <w:iCs/>
        </w:rPr>
        <w:t>(</w:t>
      </w:r>
      <w:r w:rsidRPr="00030BCB">
        <w:rPr>
          <w:iCs/>
        </w:rPr>
        <w:t xml:space="preserve">Economic Crime </w:t>
      </w:r>
      <w:r>
        <w:rPr>
          <w:iCs/>
        </w:rPr>
        <w:t>D</w:t>
      </w:r>
      <w:r w:rsidRPr="00030BCB">
        <w:rPr>
          <w:iCs/>
        </w:rPr>
        <w:t>ivision</w:t>
      </w:r>
      <w:r>
        <w:rPr>
          <w:iCs/>
        </w:rPr>
        <w:t>) (2026), additional written input</w:t>
      </w:r>
      <w:r w:rsidRPr="00030BCB">
        <w:rPr>
          <w:iCs/>
        </w:rPr>
        <w:t>.</w:t>
      </w:r>
    </w:p>
  </w:footnote>
  <w:footnote w:id="62">
    <w:p w14:paraId="5561F1FF"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2025 Rule of Law Report, Slovenia, p. 10. This also concerns access to information where a suspect has a bank account, which requires a court order. Country visit Slovenia, Specialised State Prosecution Office and National Bureau of Investigation. </w:t>
      </w:r>
    </w:p>
  </w:footnote>
  <w:footnote w:id="63">
    <w:p w14:paraId="6EE9CEAB" w14:textId="2310366B" w:rsidR="0024044D" w:rsidRPr="00166C15" w:rsidRDefault="0024044D">
      <w:pPr>
        <w:pStyle w:val="FootnoteText"/>
        <w:rPr>
          <w:lang w:val="en-IE"/>
        </w:rPr>
      </w:pPr>
      <w:r>
        <w:rPr>
          <w:rStyle w:val="FootnoteReference"/>
        </w:rPr>
        <w:footnoteRef/>
      </w:r>
      <w:r>
        <w:tab/>
        <w:t>J</w:t>
      </w:r>
      <w:r w:rsidRPr="0024044D">
        <w:t>udgment of the Constitutional Court U-I-144/19_3 of 6 July 2023</w:t>
      </w:r>
      <w:r w:rsidR="003C5390">
        <w:t>.</w:t>
      </w:r>
    </w:p>
  </w:footnote>
  <w:footnote w:id="64">
    <w:p w14:paraId="298DB17C"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See above, Quality and Efficiency of the Justice System. Slovenian Government (2026), written input, p. 2. At first instance courts, the average length in 2024 in bribery cases was </w:t>
      </w:r>
      <w:r>
        <w:t xml:space="preserve">the </w:t>
      </w:r>
      <w:r w:rsidRPr="00230D53">
        <w:t xml:space="preserve">third longest in the EU </w:t>
      </w:r>
      <w:r w:rsidRPr="00230D53">
        <w:rPr>
          <w:lang w:eastAsia="fr-FR"/>
        </w:rPr>
        <w:t>(597 days). In 2025, it decreased to 574 days.</w:t>
      </w:r>
    </w:p>
  </w:footnote>
  <w:footnote w:id="65">
    <w:p w14:paraId="3BDEA076" w14:textId="77777777" w:rsidR="001D33E1" w:rsidRPr="00230D53" w:rsidRDefault="001D33E1" w:rsidP="001D33E1">
      <w:pPr>
        <w:pStyle w:val="FootnoteText"/>
      </w:pPr>
      <w:r w:rsidRPr="00230D53">
        <w:rPr>
          <w:rStyle w:val="FootnoteReference"/>
        </w:rPr>
        <w:footnoteRef/>
      </w:r>
      <w:r w:rsidRPr="00230D53">
        <w:t xml:space="preserve"> </w:t>
      </w:r>
      <w:r w:rsidRPr="00230D53">
        <w:tab/>
        <w:t>EU funded project under the Technical Support Instrument</w:t>
      </w:r>
      <w:r>
        <w:t xml:space="preserve">: </w:t>
      </w:r>
      <w:r w:rsidRPr="00CC22D7">
        <w:t>“Public Prosecutor capacity to fight Economic and Financial Crime”</w:t>
      </w:r>
      <w:r>
        <w:t xml:space="preserve"> (October 2025 -</w:t>
      </w:r>
      <w:r w:rsidRPr="006015E3">
        <w:t xml:space="preserve"> October 2027</w:t>
      </w:r>
      <w:r>
        <w:t>). It includes</w:t>
      </w:r>
      <w:r w:rsidRPr="00497AC8">
        <w:t xml:space="preserve"> </w:t>
      </w:r>
      <w:r>
        <w:t xml:space="preserve">the </w:t>
      </w:r>
      <w:r w:rsidRPr="00497AC8">
        <w:t xml:space="preserve">drafting </w:t>
      </w:r>
      <w:r>
        <w:t>of</w:t>
      </w:r>
      <w:r w:rsidRPr="00497AC8">
        <w:t xml:space="preserve"> </w:t>
      </w:r>
      <w:r>
        <w:t>r</w:t>
      </w:r>
      <w:r w:rsidRPr="00497AC8">
        <w:t xml:space="preserve">ecommendations for the </w:t>
      </w:r>
      <w:r>
        <w:t>l</w:t>
      </w:r>
      <w:r w:rsidRPr="00497AC8">
        <w:t xml:space="preserve">egal </w:t>
      </w:r>
      <w:r>
        <w:t>f</w:t>
      </w:r>
      <w:r w:rsidRPr="00497AC8">
        <w:t xml:space="preserve">ramework </w:t>
      </w:r>
      <w:r>
        <w:t xml:space="preserve">in cooperation with the Council of Europe, </w:t>
      </w:r>
      <w:r w:rsidRPr="00F17725">
        <w:t xml:space="preserve">exchange </w:t>
      </w:r>
      <w:r>
        <w:t xml:space="preserve">of </w:t>
      </w:r>
      <w:r w:rsidRPr="00F17725">
        <w:t>best practices</w:t>
      </w:r>
      <w:r>
        <w:t xml:space="preserve"> with prosecutors</w:t>
      </w:r>
      <w:r w:rsidRPr="00981729">
        <w:t xml:space="preserve"> </w:t>
      </w:r>
      <w:r>
        <w:t xml:space="preserve">from other Member States, </w:t>
      </w:r>
      <w:r w:rsidRPr="003A7BF7">
        <w:t xml:space="preserve">and </w:t>
      </w:r>
      <w:r>
        <w:t>the development of a t</w:t>
      </w:r>
      <w:r w:rsidRPr="003A7BF7">
        <w:t xml:space="preserve">raining </w:t>
      </w:r>
      <w:r>
        <w:t>s</w:t>
      </w:r>
      <w:r w:rsidRPr="003A7BF7">
        <w:t>trategy</w:t>
      </w:r>
      <w:r>
        <w:t>.</w:t>
      </w:r>
      <w:r w:rsidRPr="00F17725">
        <w:t xml:space="preserve"> </w:t>
      </w:r>
    </w:p>
  </w:footnote>
  <w:footnote w:id="66">
    <w:p w14:paraId="66BEB478"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Slovenian Government (2026), written input, p. 8. </w:t>
      </w:r>
    </w:p>
  </w:footnote>
  <w:footnote w:id="67">
    <w:p w14:paraId="3D1E451F"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EPPO (2026), written input, p. 64. </w:t>
      </w:r>
    </w:p>
  </w:footnote>
  <w:footnote w:id="68">
    <w:p w14:paraId="4D4E94D2"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230D53">
        <w:rPr>
          <w:lang w:eastAsia="fr-FR"/>
        </w:rPr>
        <w:t xml:space="preserve">More than 300 000 accesses per day, Country visit Slovenia, CPC. </w:t>
      </w:r>
    </w:p>
  </w:footnote>
  <w:footnote w:id="69">
    <w:p w14:paraId="5AB01EF8"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CPC.</w:t>
      </w:r>
    </w:p>
  </w:footnote>
  <w:footnote w:id="70">
    <w:p w14:paraId="31A0F267" w14:textId="77777777" w:rsidR="001D33E1" w:rsidRPr="00230D53" w:rsidRDefault="001D33E1" w:rsidP="001D33E1">
      <w:pPr>
        <w:pStyle w:val="FootnoteText"/>
      </w:pPr>
      <w:r w:rsidRPr="00230D53">
        <w:rPr>
          <w:rStyle w:val="FootnoteReference"/>
        </w:rPr>
        <w:footnoteRef/>
      </w:r>
      <w:r w:rsidRPr="00230D53">
        <w:t xml:space="preserve"> </w:t>
      </w:r>
      <w:r w:rsidRPr="00230D53">
        <w:tab/>
        <w:t>CPC’s budget for 2026 is EUR 3.2 million (3.1 million in 2025). Slovenian Government (2026), written input, p. 9. In 2024, CPC operated with 44 employees. Slovenian Government (2026), written input, p. 9.</w:t>
      </w:r>
    </w:p>
  </w:footnote>
  <w:footnote w:id="71">
    <w:p w14:paraId="068018E3" w14:textId="77777777" w:rsidR="001D33E1" w:rsidRPr="00230D53" w:rsidRDefault="001D33E1" w:rsidP="001D33E1">
      <w:pPr>
        <w:pStyle w:val="FootnoteText"/>
      </w:pPr>
      <w:r w:rsidRPr="00230D53">
        <w:rPr>
          <w:rStyle w:val="FootnoteReference"/>
        </w:rPr>
        <w:footnoteRef/>
      </w:r>
      <w:r w:rsidRPr="00230D53">
        <w:t xml:space="preserve"> </w:t>
      </w:r>
      <w:r w:rsidRPr="00230D53">
        <w:tab/>
      </w:r>
      <w:r>
        <w:t xml:space="preserve">CPC considered that certain lawsuits filed against it </w:t>
      </w:r>
      <w:r w:rsidRPr="00230D53">
        <w:t>went beyond opposing the content of the CPC’s decisions and recommendations, challeng</w:t>
      </w:r>
      <w:r>
        <w:t>ing</w:t>
      </w:r>
      <w:r w:rsidRPr="00230D53">
        <w:t xml:space="preserve"> CPC’s powers to issue them. Country visit Slovenia, CPC. </w:t>
      </w:r>
      <w:r w:rsidRPr="00230D53">
        <w:rPr>
          <w:lang w:eastAsia="fr-FR"/>
        </w:rPr>
        <w:t>This has led to the publication of an open letter by the CPC President addressed to the Prime Minister.</w:t>
      </w:r>
      <w:r>
        <w:rPr>
          <w:lang w:eastAsia="fr-FR"/>
        </w:rPr>
        <w:t xml:space="preserve"> CPC (2025). Prime minister’s Cabinet rejected the statements and, among others, stated that the Government has increased the CPC’s budget and their salaries. Cabinet of the Prime Minister (2026).</w:t>
      </w:r>
    </w:p>
  </w:footnote>
  <w:footnote w:id="72">
    <w:p w14:paraId="7B476A2B"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Transparency International. </w:t>
      </w:r>
    </w:p>
  </w:footnote>
  <w:footnote w:id="73">
    <w:p w14:paraId="7DC0EC2D" w14:textId="77777777" w:rsidR="001D33E1" w:rsidRPr="00230D53" w:rsidRDefault="001D33E1" w:rsidP="001D33E1">
      <w:pPr>
        <w:pStyle w:val="FootnoteText"/>
      </w:pPr>
      <w:r w:rsidRPr="00230D53">
        <w:rPr>
          <w:rStyle w:val="FootnoteReference"/>
        </w:rPr>
        <w:footnoteRef/>
      </w:r>
      <w:r w:rsidRPr="00230D53">
        <w:t xml:space="preserve"> </w:t>
      </w:r>
      <w:r w:rsidRPr="00230D53">
        <w:tab/>
        <w:t>Following the new Public Employees Act adopted in April 2025, which entered into force on 1 January 2026. Previously, the CPC was only competent for high-level officials and hierarchically superior public officials were responsible for preventing the conflict of interest of public employees.</w:t>
      </w:r>
    </w:p>
  </w:footnote>
  <w:footnote w:id="74">
    <w:p w14:paraId="6D318497"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CPC. </w:t>
      </w:r>
    </w:p>
  </w:footnote>
  <w:footnote w:id="75">
    <w:p w14:paraId="1FB873A4" w14:textId="77777777" w:rsidR="001D33E1" w:rsidRPr="00230D53" w:rsidRDefault="001D33E1" w:rsidP="001D33E1">
      <w:pPr>
        <w:pStyle w:val="FootnoteText"/>
      </w:pPr>
      <w:r w:rsidRPr="00230D53">
        <w:rPr>
          <w:rStyle w:val="FootnoteReference"/>
        </w:rPr>
        <w:footnoteRef/>
      </w:r>
      <w:r w:rsidRPr="00230D53">
        <w:t xml:space="preserve"> </w:t>
      </w:r>
      <w:r w:rsidRPr="00230D53">
        <w:tab/>
        <w:t>CPC</w:t>
      </w:r>
      <w:r>
        <w:t xml:space="preserve"> (</w:t>
      </w:r>
      <w:r w:rsidRPr="00230D53">
        <w:t>202</w:t>
      </w:r>
      <w:r>
        <w:t>5)</w:t>
      </w:r>
      <w:r w:rsidRPr="00230D53">
        <w:t>, p.</w:t>
      </w:r>
      <w:r>
        <w:t xml:space="preserve"> 24.</w:t>
      </w:r>
      <w:r w:rsidRPr="00230D53">
        <w:t xml:space="preserve"> </w:t>
      </w:r>
    </w:p>
  </w:footnote>
  <w:footnote w:id="76">
    <w:p w14:paraId="02392BE1" w14:textId="77777777" w:rsidR="001D33E1" w:rsidRPr="00230D53" w:rsidRDefault="001D33E1" w:rsidP="001D33E1">
      <w:pPr>
        <w:pStyle w:val="FootnoteText"/>
      </w:pPr>
      <w:r w:rsidRPr="00230D53">
        <w:rPr>
          <w:rStyle w:val="FootnoteReference"/>
        </w:rPr>
        <w:footnoteRef/>
      </w:r>
      <w:r w:rsidRPr="00230D53">
        <w:t xml:space="preserve"> </w:t>
      </w:r>
      <w:r w:rsidRPr="00230D53">
        <w:tab/>
        <w:t>GRECO (2025)</w:t>
      </w:r>
      <w:r>
        <w:t>.</w:t>
      </w:r>
      <w:r w:rsidRPr="00230D53">
        <w:t xml:space="preserve"> </w:t>
      </w:r>
      <w:r w:rsidRPr="00757E98">
        <w:rPr>
          <w:iCs/>
        </w:rPr>
        <w:t xml:space="preserve">GRECO recommended that </w:t>
      </w:r>
      <w:bookmarkStart w:id="7" w:name="_Hlk46497067"/>
      <w:r w:rsidRPr="00757E98">
        <w:rPr>
          <w:iCs/>
        </w:rPr>
        <w:t xml:space="preserve">an integrity plan be established in respect of the </w:t>
      </w:r>
      <w:r w:rsidRPr="00230D53">
        <w:rPr>
          <w:iCs/>
        </w:rPr>
        <w:t>Government</w:t>
      </w:r>
      <w:r w:rsidRPr="00757E98">
        <w:rPr>
          <w:iCs/>
        </w:rPr>
        <w:t>, as an overarching structure to the plans existing in each ministry</w:t>
      </w:r>
      <w:bookmarkEnd w:id="7"/>
      <w:r>
        <w:rPr>
          <w:iCs/>
        </w:rPr>
        <w:t xml:space="preserve"> (recommendation iii)</w:t>
      </w:r>
      <w:r w:rsidRPr="00757E98">
        <w:rPr>
          <w:iCs/>
        </w:rPr>
        <w:t>.</w:t>
      </w:r>
      <w:r>
        <w:rPr>
          <w:iCs/>
        </w:rPr>
        <w:t xml:space="preserve"> GRECO also </w:t>
      </w:r>
      <w:r w:rsidRPr="009206CC">
        <w:t xml:space="preserve">recommended </w:t>
      </w:r>
      <w:bookmarkStart w:id="8" w:name="_Hlk46497901"/>
      <w:r w:rsidRPr="009206CC">
        <w:t xml:space="preserve">developing within the </w:t>
      </w:r>
      <w:r w:rsidRPr="00230D53">
        <w:t>Government</w:t>
      </w:r>
      <w:r w:rsidRPr="009206CC">
        <w:t xml:space="preserve"> an organisational strategy and practices to improve the management of conflicts of interest, including through responsive advisory, monitoring and compliance mechanisms</w:t>
      </w:r>
      <w:bookmarkEnd w:id="8"/>
      <w:r>
        <w:t xml:space="preserve"> (recommendation iv).</w:t>
      </w:r>
    </w:p>
  </w:footnote>
  <w:footnote w:id="77">
    <w:p w14:paraId="66550D49" w14:textId="77777777" w:rsidR="001D33E1" w:rsidRPr="00230D53" w:rsidRDefault="001D33E1" w:rsidP="001D33E1">
      <w:pPr>
        <w:pStyle w:val="FootnoteText"/>
      </w:pPr>
      <w:r w:rsidRPr="00230D53">
        <w:rPr>
          <w:rStyle w:val="FootnoteReference"/>
        </w:rPr>
        <w:footnoteRef/>
      </w:r>
      <w:r w:rsidRPr="00230D53">
        <w:t xml:space="preserve"> </w:t>
      </w:r>
      <w:r w:rsidRPr="00230D53">
        <w:tab/>
      </w:r>
      <w:r w:rsidRPr="00230D53">
        <w:rPr>
          <w:szCs w:val="24"/>
          <w:lang w:eastAsia="fr-FR"/>
        </w:rPr>
        <w:t>Protocol on the Conduct of the Government for Managing Corruption Risks</w:t>
      </w:r>
      <w:r>
        <w:rPr>
          <w:szCs w:val="24"/>
          <w:lang w:eastAsia="fr-FR"/>
        </w:rPr>
        <w:t>.</w:t>
      </w:r>
      <w:r w:rsidRPr="00230D53">
        <w:t xml:space="preserve"> Slovenian Government (2026), written input, p. 11</w:t>
      </w:r>
      <w:r>
        <w:t>.</w:t>
      </w:r>
    </w:p>
  </w:footnote>
  <w:footnote w:id="78">
    <w:p w14:paraId="67EB8C5A"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CPC. </w:t>
      </w:r>
    </w:p>
  </w:footnote>
  <w:footnote w:id="79">
    <w:p w14:paraId="52743994" w14:textId="3239D43F" w:rsidR="001D33E1" w:rsidRPr="00230D53" w:rsidRDefault="001D33E1" w:rsidP="001D33E1">
      <w:pPr>
        <w:pStyle w:val="FootnoteText"/>
      </w:pPr>
      <w:r w:rsidRPr="00230D53">
        <w:rPr>
          <w:rStyle w:val="FootnoteReference"/>
        </w:rPr>
        <w:footnoteRef/>
      </w:r>
      <w:r w:rsidRPr="00230D53">
        <w:t xml:space="preserve"> </w:t>
      </w:r>
      <w:r w:rsidRPr="00230D53">
        <w:tab/>
      </w:r>
      <w:r>
        <w:t>I</w:t>
      </w:r>
      <w:r w:rsidRPr="00833D48">
        <w:rPr>
          <w:lang w:eastAsia="fr-FR"/>
        </w:rPr>
        <w:t>n a recruitment procedure</w:t>
      </w:r>
      <w:r>
        <w:rPr>
          <w:lang w:eastAsia="fr-FR"/>
        </w:rPr>
        <w:t xml:space="preserve"> from the </w:t>
      </w:r>
      <w:r w:rsidR="007E34EE">
        <w:rPr>
          <w:lang w:eastAsia="fr-FR"/>
        </w:rPr>
        <w:t xml:space="preserve">former </w:t>
      </w:r>
      <w:r>
        <w:rPr>
          <w:lang w:eastAsia="fr-FR"/>
        </w:rPr>
        <w:t xml:space="preserve">Government to the </w:t>
      </w:r>
      <w:r w:rsidRPr="003F05FA">
        <w:t>Slovenian Sovereign Holding</w:t>
      </w:r>
      <w:r w:rsidRPr="00833D48">
        <w:rPr>
          <w:lang w:eastAsia="fr-FR"/>
        </w:rPr>
        <w:t xml:space="preserve">, the </w:t>
      </w:r>
      <w:r w:rsidRPr="00230D53">
        <w:t xml:space="preserve">CPC </w:t>
      </w:r>
      <w:r w:rsidRPr="00833D48">
        <w:rPr>
          <w:lang w:eastAsia="fr-FR"/>
        </w:rPr>
        <w:t>identified several corruption risks</w:t>
      </w:r>
      <w:r>
        <w:rPr>
          <w:lang w:eastAsia="fr-FR"/>
        </w:rPr>
        <w:t xml:space="preserve">. </w:t>
      </w:r>
      <w:r w:rsidRPr="00230D53" w:rsidDel="00A137FA">
        <w:t xml:space="preserve">CPC (2026). </w:t>
      </w:r>
      <w:r w:rsidRPr="00230D53">
        <w:t xml:space="preserve">The </w:t>
      </w:r>
      <w:r w:rsidR="00D34EC8">
        <w:t xml:space="preserve">former </w:t>
      </w:r>
      <w:r w:rsidRPr="00230D53">
        <w:t>Government has challenged in court the competence of CPC to adopt such a recommendation, which raised concerns of the CPC.</w:t>
      </w:r>
      <w:r w:rsidRPr="00A137FA">
        <w:t xml:space="preserve"> </w:t>
      </w:r>
      <w:r w:rsidRPr="00230D53">
        <w:t>Country visit Slovenia</w:t>
      </w:r>
      <w:r>
        <w:t>, CPC.</w:t>
      </w:r>
      <w:r w:rsidRPr="00230D53">
        <w:t xml:space="preserve"> </w:t>
      </w:r>
    </w:p>
  </w:footnote>
  <w:footnote w:id="80">
    <w:p w14:paraId="4FD1B749"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2024 Rule of Law Report, Slovenia, p. 12. CPC (2025), p. 30. </w:t>
      </w:r>
    </w:p>
  </w:footnote>
  <w:footnote w:id="81">
    <w:p w14:paraId="3B71412A"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CPC, Lobbying register, </w:t>
      </w:r>
      <w:hyperlink r:id="rId2" w:history="1">
        <w:r w:rsidRPr="00230D53">
          <w:rPr>
            <w:rStyle w:val="Hyperlink"/>
          </w:rPr>
          <w:t>https://www.kpk-rs.si/sl/instituti/lobiranje/register-lobistov</w:t>
        </w:r>
      </w:hyperlink>
    </w:p>
  </w:footnote>
  <w:footnote w:id="82">
    <w:p w14:paraId="02DDB357" w14:textId="77777777" w:rsidR="001D33E1" w:rsidRPr="00BA42C6" w:rsidRDefault="001D33E1" w:rsidP="001D33E1">
      <w:pPr>
        <w:pStyle w:val="FootnoteText"/>
      </w:pPr>
      <w:r>
        <w:rPr>
          <w:rStyle w:val="FootnoteReference"/>
        </w:rPr>
        <w:footnoteRef/>
      </w:r>
      <w:r>
        <w:t xml:space="preserve"> </w:t>
      </w:r>
      <w:r>
        <w:tab/>
        <w:t>CPC (2025), p. 32.</w:t>
      </w:r>
    </w:p>
  </w:footnote>
  <w:footnote w:id="83">
    <w:p w14:paraId="0E35C43C" w14:textId="77777777" w:rsidR="001D33E1" w:rsidRPr="00230D53" w:rsidRDefault="001D33E1" w:rsidP="001D33E1">
      <w:pPr>
        <w:pStyle w:val="FootnoteText"/>
      </w:pPr>
      <w:r w:rsidRPr="00230D53">
        <w:rPr>
          <w:rStyle w:val="FootnoteReference"/>
        </w:rPr>
        <w:footnoteRef/>
      </w:r>
      <w:r w:rsidRPr="00230D53">
        <w:t xml:space="preserve"> </w:t>
      </w:r>
      <w:r w:rsidRPr="00230D53">
        <w:tab/>
      </w:r>
      <w:r>
        <w:t xml:space="preserve">For example, apparent lack of reporting included a former minister. </w:t>
      </w:r>
      <w:r w:rsidRPr="00230D53">
        <w:t xml:space="preserve">Country visit Slovenia, Transparency International. </w:t>
      </w:r>
    </w:p>
  </w:footnote>
  <w:footnote w:id="84">
    <w:p w14:paraId="3FB5EB0B" w14:textId="77777777" w:rsidR="001D33E1" w:rsidRPr="00230D53" w:rsidRDefault="001D33E1" w:rsidP="001D33E1">
      <w:pPr>
        <w:pStyle w:val="FootnoteText"/>
      </w:pPr>
      <w:r w:rsidRPr="00230D53">
        <w:rPr>
          <w:rStyle w:val="FootnoteReference"/>
        </w:rPr>
        <w:footnoteRef/>
      </w:r>
      <w:r w:rsidRPr="00230D53">
        <w:t xml:space="preserve"> </w:t>
      </w:r>
      <w:r w:rsidRPr="00230D53">
        <w:tab/>
      </w:r>
      <w:r>
        <w:t>Parliament</w:t>
      </w:r>
      <w:r w:rsidRPr="00230D53">
        <w:t xml:space="preserve"> (2026</w:t>
      </w:r>
      <w:r>
        <w:t>a)</w:t>
      </w:r>
      <w:r w:rsidRPr="00230D53">
        <w:t>.</w:t>
      </w:r>
    </w:p>
  </w:footnote>
  <w:footnote w:id="85">
    <w:p w14:paraId="4106ED26"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Court of Audit. </w:t>
      </w:r>
    </w:p>
  </w:footnote>
  <w:footnote w:id="86">
    <w:p w14:paraId="41C490B7"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CPC and Transparency International.</w:t>
      </w:r>
    </w:p>
  </w:footnote>
  <w:footnote w:id="87">
    <w:p w14:paraId="2CF08204" w14:textId="77777777" w:rsidR="001D33E1" w:rsidRPr="00230D53" w:rsidRDefault="001D33E1" w:rsidP="001D33E1">
      <w:pPr>
        <w:pStyle w:val="FootnoteText"/>
      </w:pPr>
      <w:r w:rsidRPr="00230D53">
        <w:rPr>
          <w:rStyle w:val="FootnoteReference"/>
        </w:rPr>
        <w:footnoteRef/>
      </w:r>
      <w:r w:rsidRPr="00230D53">
        <w:t xml:space="preserve"> </w:t>
      </w:r>
      <w:r w:rsidRPr="00230D53">
        <w:tab/>
        <w:t>Slovenian Government (2026), written input p. 10.</w:t>
      </w:r>
    </w:p>
  </w:footnote>
  <w:footnote w:id="88">
    <w:p w14:paraId="21B89C83" w14:textId="77777777" w:rsidR="001D33E1" w:rsidRPr="000471A4" w:rsidRDefault="001D33E1" w:rsidP="001D33E1">
      <w:pPr>
        <w:pStyle w:val="FootnoteText"/>
        <w:rPr>
          <w:lang w:val="en-IE"/>
        </w:rPr>
      </w:pPr>
      <w:r w:rsidRPr="000471A4">
        <w:rPr>
          <w:rStyle w:val="FootnoteReference"/>
          <w:lang w:val="en-IE"/>
        </w:rPr>
        <w:footnoteRef/>
      </w:r>
      <w:r w:rsidRPr="000471A4">
        <w:rPr>
          <w:lang w:val="en-IE"/>
        </w:rPr>
        <w:t xml:space="preserve"> </w:t>
      </w:r>
      <w:r w:rsidRPr="000471A4">
        <w:rPr>
          <w:lang w:val="en-IE"/>
        </w:rPr>
        <w:tab/>
        <w:t>Flash Eurobarometer</w:t>
      </w:r>
      <w:r>
        <w:t xml:space="preserve"> </w:t>
      </w:r>
      <w:r>
        <w:rPr>
          <w:lang w:val="en-IE"/>
        </w:rPr>
        <w:t xml:space="preserve">582 </w:t>
      </w:r>
      <w:r w:rsidRPr="000471A4">
        <w:rPr>
          <w:lang w:val="en-IE"/>
        </w:rPr>
        <w:t>on Businesses’ attitudes towards corruption in the EU (202</w:t>
      </w:r>
      <w:r>
        <w:rPr>
          <w:lang w:val="en-IE"/>
        </w:rPr>
        <w:t>6</w:t>
      </w:r>
      <w:r w:rsidRPr="000471A4">
        <w:rPr>
          <w:lang w:val="en-IE"/>
        </w:rPr>
        <w:t xml:space="preserve">). This is </w:t>
      </w:r>
      <w:r>
        <w:rPr>
          <w:lang w:val="en-IE"/>
        </w:rPr>
        <w:t xml:space="preserve">equal to </w:t>
      </w:r>
      <w:r w:rsidRPr="000471A4">
        <w:rPr>
          <w:lang w:val="en-IE"/>
        </w:rPr>
        <w:t>the EU average.</w:t>
      </w:r>
    </w:p>
  </w:footnote>
  <w:footnote w:id="89">
    <w:p w14:paraId="425904E3" w14:textId="77777777" w:rsidR="001D33E1" w:rsidRPr="005B5797" w:rsidRDefault="001D33E1" w:rsidP="001D33E1">
      <w:pPr>
        <w:pStyle w:val="FootnoteText"/>
        <w:rPr>
          <w:lang w:val="en-IE"/>
        </w:rPr>
      </w:pPr>
      <w:r w:rsidRPr="00056F1D">
        <w:rPr>
          <w:rStyle w:val="FootnoteReference"/>
        </w:rPr>
        <w:footnoteRef/>
      </w:r>
      <w:r w:rsidRPr="005B5797">
        <w:rPr>
          <w:lang w:val="en-IE"/>
        </w:rPr>
        <w:t xml:space="preserve"> </w:t>
      </w:r>
      <w:r w:rsidRPr="005B5797">
        <w:rPr>
          <w:lang w:val="en-IE"/>
        </w:rPr>
        <w:tab/>
        <w:t>Figure 59, 2026 EU Justice Scoreboard.</w:t>
      </w:r>
    </w:p>
  </w:footnote>
  <w:footnote w:id="90">
    <w:p w14:paraId="6C1D5440" w14:textId="77777777" w:rsidR="001D33E1" w:rsidRPr="00230D53" w:rsidRDefault="001D33E1" w:rsidP="001D33E1">
      <w:pPr>
        <w:pStyle w:val="FootnoteText"/>
      </w:pPr>
      <w:r w:rsidRPr="00230D53">
        <w:rPr>
          <w:rStyle w:val="FootnoteReference"/>
        </w:rPr>
        <w:footnoteRef/>
      </w:r>
      <w:r w:rsidRPr="00230D53">
        <w:t xml:space="preserve"> </w:t>
      </w:r>
      <w:r w:rsidRPr="00230D53">
        <w:tab/>
        <w:t>Ibidem.</w:t>
      </w:r>
    </w:p>
  </w:footnote>
  <w:footnote w:id="91">
    <w:p w14:paraId="3C3608A5" w14:textId="77777777" w:rsidR="001D33E1" w:rsidRPr="00772618" w:rsidRDefault="001D33E1" w:rsidP="001D33E1">
      <w:pPr>
        <w:pStyle w:val="FootnoteText"/>
      </w:pPr>
      <w:r w:rsidRPr="00230D53">
        <w:rPr>
          <w:rStyle w:val="FootnoteReference"/>
        </w:rPr>
        <w:footnoteRef/>
      </w:r>
      <w:r w:rsidRPr="00230D53">
        <w:t xml:space="preserve">  </w:t>
      </w:r>
      <w:r w:rsidRPr="00230D53">
        <w:tab/>
        <w:t xml:space="preserve">The publication of the contract notice and results has been digitalised already for several years, but the public procurement procedure is currently conducted in several ICT systems that could be unified. </w:t>
      </w:r>
      <w:r w:rsidRPr="00230D53">
        <w:rPr>
          <w:szCs w:val="24"/>
          <w:lang w:eastAsia="fr-FR"/>
        </w:rPr>
        <w:t>According to the National Review Commission, risks of fraud in public procurement exist especially in needs planning, preparation of procurement documents and in formulating the conditions, whereas the procedure after publishing the tender is rather transparent and subject to effective review</w:t>
      </w:r>
      <w:r>
        <w:rPr>
          <w:szCs w:val="24"/>
          <w:lang w:eastAsia="fr-FR"/>
        </w:rPr>
        <w:t xml:space="preserve">. </w:t>
      </w:r>
      <w:r w:rsidRPr="00230D53">
        <w:t>Country visit Slovenia, National Review Commission.</w:t>
      </w:r>
    </w:p>
  </w:footnote>
  <w:footnote w:id="92">
    <w:p w14:paraId="7FF68345" w14:textId="77777777" w:rsidR="001D33E1" w:rsidRPr="00772618" w:rsidRDefault="001D33E1" w:rsidP="001D33E1">
      <w:pPr>
        <w:pStyle w:val="FootnoteText"/>
      </w:pPr>
      <w:r w:rsidRPr="00230D53">
        <w:rPr>
          <w:rStyle w:val="FootnoteReference"/>
        </w:rPr>
        <w:footnoteRef/>
      </w:r>
      <w:r w:rsidRPr="00230D53">
        <w:t xml:space="preserve">  </w:t>
      </w:r>
      <w:r w:rsidRPr="00230D53">
        <w:tab/>
        <w:t>Country visit Slovenia, Court of Audit.</w:t>
      </w:r>
    </w:p>
  </w:footnote>
  <w:footnote w:id="93">
    <w:p w14:paraId="2F16EC66"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Transparency International. </w:t>
      </w:r>
    </w:p>
  </w:footnote>
  <w:footnote w:id="94">
    <w:p w14:paraId="1D77C220" w14:textId="77777777" w:rsidR="001D33E1" w:rsidRPr="00230D53" w:rsidRDefault="001D33E1" w:rsidP="001D33E1">
      <w:pPr>
        <w:pStyle w:val="FootnoteText"/>
      </w:pPr>
      <w:r w:rsidRPr="00230D53">
        <w:rPr>
          <w:rStyle w:val="FootnoteReference"/>
        </w:rPr>
        <w:footnoteRef/>
      </w:r>
      <w:r w:rsidRPr="00230D53">
        <w:t xml:space="preserve"> </w:t>
      </w:r>
      <w:r w:rsidRPr="00230D53">
        <w:tab/>
        <w:t>The Resolution</w:t>
      </w:r>
      <w:r w:rsidRPr="0038589C">
        <w:rPr>
          <w:b/>
          <w:bCs/>
          <w:szCs w:val="24"/>
          <w:lang w:eastAsia="fr-FR"/>
        </w:rPr>
        <w:t xml:space="preserve"> </w:t>
      </w:r>
      <w:r w:rsidRPr="0038589C">
        <w:rPr>
          <w:szCs w:val="24"/>
          <w:lang w:eastAsia="fr-FR"/>
        </w:rPr>
        <w:t>on the Prevention of Corruption</w:t>
      </w:r>
      <w:r w:rsidRPr="00230D53">
        <w:t xml:space="preserve"> underlines that “corruption risks are prominent in major public investment projects in the field of infrastructure, supported by large financial resources. In these investment projects, there are significant risks of rigging of public contracts in favour of a particular bidder, undue influence in the process of awarding public contracts, cartel agreements between bidders, bribery and unauthorised, undeclared gifts, and abuse”.</w:t>
      </w:r>
    </w:p>
  </w:footnote>
  <w:footnote w:id="95">
    <w:p w14:paraId="165EFA87"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Slovenian Government (2026), written input, p. 10, and Country visit Slovenia, CPC. </w:t>
      </w:r>
    </w:p>
  </w:footnote>
  <w:footnote w:id="96">
    <w:p w14:paraId="54BDC9A9" w14:textId="77777777" w:rsidR="001D33E1" w:rsidRPr="00203ED8" w:rsidRDefault="001D33E1" w:rsidP="001D33E1">
      <w:pPr>
        <w:pStyle w:val="FootnoteText"/>
        <w:rPr>
          <w:lang w:val="en-IE"/>
        </w:rPr>
      </w:pPr>
      <w:r>
        <w:rPr>
          <w:rStyle w:val="FootnoteReference"/>
        </w:rPr>
        <w:footnoteRef/>
      </w:r>
      <w:r>
        <w:t xml:space="preserve"> </w:t>
      </w:r>
      <w:r>
        <w:tab/>
      </w:r>
      <w:r w:rsidRPr="009048DB">
        <w:t xml:space="preserve">AKOS was designated Digital Services Coordinator in </w:t>
      </w:r>
      <w:r>
        <w:t>March</w:t>
      </w:r>
      <w:r w:rsidRPr="009048DB">
        <w:t xml:space="preserve"> 2024</w:t>
      </w:r>
      <w:r>
        <w:t>.</w:t>
      </w:r>
    </w:p>
  </w:footnote>
  <w:footnote w:id="97">
    <w:p w14:paraId="0FEE3037" w14:textId="77777777" w:rsidR="001D33E1" w:rsidRPr="000049B3" w:rsidRDefault="001D33E1" w:rsidP="001D33E1">
      <w:pPr>
        <w:pStyle w:val="FootnoteText"/>
        <w:rPr>
          <w:lang w:val="en-IE"/>
        </w:rPr>
      </w:pPr>
      <w:r>
        <w:rPr>
          <w:rStyle w:val="FootnoteReference"/>
        </w:rPr>
        <w:footnoteRef/>
      </w:r>
      <w:r w:rsidRPr="00092FA9">
        <w:rPr>
          <w:lang w:val="en-IE"/>
        </w:rPr>
        <w:t xml:space="preserve"> </w:t>
      </w:r>
      <w:r w:rsidRPr="00092FA9">
        <w:rPr>
          <w:lang w:val="en-IE"/>
        </w:rPr>
        <w:tab/>
      </w:r>
      <w:r w:rsidRPr="00203ED8">
        <w:rPr>
          <w:lang w:val="en-IE"/>
        </w:rPr>
        <w:t>Electronic</w:t>
      </w:r>
      <w:r w:rsidRPr="00092FA9">
        <w:rPr>
          <w:lang w:val="en-IE"/>
        </w:rPr>
        <w:t xml:space="preserve"> Communications Act</w:t>
      </w:r>
      <w:r w:rsidRPr="00203ED8">
        <w:rPr>
          <w:lang w:val="en-IE"/>
        </w:rPr>
        <w:t>, Arts.</w:t>
      </w:r>
      <w:r w:rsidRPr="00092FA9">
        <w:rPr>
          <w:lang w:val="en-IE"/>
        </w:rPr>
        <w:t xml:space="preserve"> 115-122. </w:t>
      </w:r>
      <w:r>
        <w:t>The</w:t>
      </w:r>
      <w:r w:rsidRPr="008C282B">
        <w:t xml:space="preserve"> Government issues consent regarding the programme of work and the financial plan of the Agency. The Agency </w:t>
      </w:r>
      <w:r>
        <w:t>must</w:t>
      </w:r>
      <w:r w:rsidRPr="008C282B">
        <w:t xml:space="preserve"> prepare </w:t>
      </w:r>
      <w:r>
        <w:t xml:space="preserve">annually </w:t>
      </w:r>
      <w:r w:rsidRPr="008C282B">
        <w:t>a report on its work and a business report</w:t>
      </w:r>
      <w:r>
        <w:t xml:space="preserve"> and</w:t>
      </w:r>
      <w:r w:rsidRPr="008C282B">
        <w:t xml:space="preserve"> consent of the Government </w:t>
      </w:r>
      <w:r>
        <w:t>is</w:t>
      </w:r>
      <w:r w:rsidRPr="008C282B">
        <w:t xml:space="preserve"> required for both reports</w:t>
      </w:r>
      <w:r>
        <w:t>.</w:t>
      </w:r>
    </w:p>
  </w:footnote>
  <w:footnote w:id="98">
    <w:p w14:paraId="3FBC5CF6" w14:textId="77777777" w:rsidR="001D33E1" w:rsidRPr="009916F4" w:rsidRDefault="001D33E1" w:rsidP="001D33E1">
      <w:pPr>
        <w:pStyle w:val="FootnoteText"/>
      </w:pPr>
      <w:r>
        <w:rPr>
          <w:rStyle w:val="FootnoteReference"/>
        </w:rPr>
        <w:footnoteRef/>
      </w:r>
      <w:r>
        <w:t xml:space="preserve"> </w:t>
      </w:r>
      <w:r>
        <w:tab/>
        <w:t>T</w:t>
      </w:r>
      <w:r w:rsidRPr="00504A25">
        <w:t>he current mechanism of appointment of AKOS’s director and members of the AKOS Council remains under the direct control of the Government, raising some concerns among stakeholders regarding the level of political influence on the media regulator</w:t>
      </w:r>
      <w:r>
        <w:t>. 2025 Rule of Law Report, Slovenia, p. 14.</w:t>
      </w:r>
      <w:r w:rsidRPr="00504A25">
        <w:t xml:space="preserve"> </w:t>
      </w:r>
      <w:r w:rsidRPr="006A5CFE">
        <w:t>Media Pluralism Monitor (202</w:t>
      </w:r>
      <w:r>
        <w:t>6</w:t>
      </w:r>
      <w:r w:rsidRPr="006A5CFE">
        <w:t>), p</w:t>
      </w:r>
      <w:r>
        <w:t>p, 6, 15.</w:t>
      </w:r>
    </w:p>
  </w:footnote>
  <w:footnote w:id="99">
    <w:p w14:paraId="38471EF0" w14:textId="77777777" w:rsidR="001D33E1" w:rsidRPr="008A5171" w:rsidRDefault="001D33E1" w:rsidP="001D33E1">
      <w:pPr>
        <w:pStyle w:val="FootnoteText"/>
      </w:pPr>
      <w:r>
        <w:rPr>
          <w:rStyle w:val="FootnoteReference"/>
        </w:rPr>
        <w:footnoteRef/>
      </w:r>
      <w:r>
        <w:t xml:space="preserve"> </w:t>
      </w:r>
      <w:r>
        <w:tab/>
        <w:t>Liberties (2026), p. 6. Similarly, 2025</w:t>
      </w:r>
      <w:r w:rsidRPr="006B6AC3">
        <w:t xml:space="preserve"> Rule of Law Report, Slovenia</w:t>
      </w:r>
      <w:r>
        <w:t>, p. 14.</w:t>
      </w:r>
    </w:p>
  </w:footnote>
  <w:footnote w:id="100">
    <w:p w14:paraId="1B7AA14D"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Liberties (2026), p. 28; </w:t>
      </w:r>
      <w:r>
        <w:t xml:space="preserve">The Peace Institute (2026), written input, p. 3; </w:t>
      </w:r>
      <w:r w:rsidRPr="00230D53">
        <w:t>Country visit Slovenia, RTV Council</w:t>
      </w:r>
      <w:r>
        <w:t>.</w:t>
      </w:r>
    </w:p>
  </w:footnote>
  <w:footnote w:id="101">
    <w:p w14:paraId="47C37814" w14:textId="77777777" w:rsidR="001D33E1" w:rsidRPr="00230D53" w:rsidRDefault="001D33E1" w:rsidP="001D33E1">
      <w:pPr>
        <w:pStyle w:val="FootnoteText"/>
      </w:pPr>
      <w:r w:rsidRPr="00230D53">
        <w:rPr>
          <w:rStyle w:val="FootnoteReference"/>
        </w:rPr>
        <w:footnoteRef/>
      </w:r>
      <w:r w:rsidRPr="00230D53">
        <w:t xml:space="preserve"> </w:t>
      </w:r>
      <w:r w:rsidRPr="00230D53">
        <w:tab/>
      </w:r>
      <w:r>
        <w:t xml:space="preserve">Rule of Law Report (2025), p. 15. </w:t>
      </w:r>
      <w:r w:rsidRPr="00230D53">
        <w:t>Country visit Slovenia, Peace Institute.</w:t>
      </w:r>
    </w:p>
  </w:footnote>
  <w:footnote w:id="102">
    <w:p w14:paraId="30E26BF0" w14:textId="77777777" w:rsidR="001D33E1" w:rsidRPr="00230D53" w:rsidRDefault="001D33E1" w:rsidP="001D33E1">
      <w:pPr>
        <w:pStyle w:val="FootnoteText"/>
      </w:pPr>
      <w:r w:rsidRPr="00230D53">
        <w:rPr>
          <w:rStyle w:val="FootnoteReference"/>
        </w:rPr>
        <w:footnoteRef/>
      </w:r>
      <w:r w:rsidRPr="00230D53">
        <w:t xml:space="preserve"> </w:t>
      </w:r>
      <w:r w:rsidRPr="00230D53">
        <w:tab/>
      </w:r>
      <w:r>
        <w:t>Media Pluralism Monitor (2026), pp. 23-24</w:t>
      </w:r>
    </w:p>
  </w:footnote>
  <w:footnote w:id="103">
    <w:p w14:paraId="79539367" w14:textId="77777777" w:rsidR="001D33E1" w:rsidRPr="000049B3" w:rsidRDefault="001D33E1" w:rsidP="001D33E1">
      <w:pPr>
        <w:pStyle w:val="FootnoteText"/>
        <w:rPr>
          <w:lang w:val="en-IE"/>
        </w:rPr>
      </w:pPr>
      <w:r>
        <w:rPr>
          <w:rStyle w:val="FootnoteReference"/>
        </w:rPr>
        <w:footnoteRef/>
      </w:r>
      <w:r>
        <w:t xml:space="preserve"> </w:t>
      </w:r>
      <w:r>
        <w:tab/>
      </w:r>
      <w:r>
        <w:rPr>
          <w:lang w:val="en-IE"/>
        </w:rPr>
        <w:t>Country visit Slovenia, Association of Journalists.</w:t>
      </w:r>
    </w:p>
  </w:footnote>
  <w:footnote w:id="104">
    <w:p w14:paraId="164ABF9F" w14:textId="77777777" w:rsidR="001D33E1" w:rsidRPr="00230D53" w:rsidRDefault="001D33E1" w:rsidP="001D33E1">
      <w:pPr>
        <w:pStyle w:val="FootnoteText"/>
      </w:pPr>
      <w:r w:rsidRPr="00230D53">
        <w:rPr>
          <w:rStyle w:val="FootnoteReference"/>
        </w:rPr>
        <w:footnoteRef/>
      </w:r>
      <w:r w:rsidRPr="00230D53">
        <w:t xml:space="preserve"> </w:t>
      </w:r>
      <w:r w:rsidRPr="00230D53">
        <w:tab/>
        <w:t>Particularly the reform regarding the appointment and dismissal of RTV’s management bodies. 2025 Rule of Law Report, Slovenia, p. 15.</w:t>
      </w:r>
    </w:p>
  </w:footnote>
  <w:footnote w:id="105">
    <w:p w14:paraId="4CA5EB23"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RTV Management.</w:t>
      </w:r>
    </w:p>
  </w:footnote>
  <w:footnote w:id="106">
    <w:p w14:paraId="143A7648" w14:textId="77777777" w:rsidR="001D33E1" w:rsidRPr="00230D53" w:rsidRDefault="001D33E1" w:rsidP="001D33E1">
      <w:pPr>
        <w:pStyle w:val="FootnoteText"/>
      </w:pPr>
      <w:r w:rsidRPr="00230D53">
        <w:rPr>
          <w:rStyle w:val="FootnoteReference"/>
        </w:rPr>
        <w:footnoteRef/>
      </w:r>
      <w:r w:rsidRPr="00230D53">
        <w:t xml:space="preserve"> </w:t>
      </w:r>
      <w:r w:rsidRPr="00230D53">
        <w:tab/>
        <w:t>Slovenian Parliament (2026), written input, p. 5.</w:t>
      </w:r>
    </w:p>
  </w:footnote>
  <w:footnote w:id="107">
    <w:p w14:paraId="21D87675" w14:textId="77777777" w:rsidR="001D33E1" w:rsidRPr="00230D53" w:rsidRDefault="001D33E1" w:rsidP="001D33E1">
      <w:pPr>
        <w:pStyle w:val="FootnoteText"/>
      </w:pPr>
      <w:r w:rsidRPr="00230D53">
        <w:rPr>
          <w:rStyle w:val="FootnoteReference"/>
        </w:rPr>
        <w:footnoteRef/>
      </w:r>
      <w:r w:rsidRPr="00230D53">
        <w:t xml:space="preserve"> </w:t>
      </w:r>
      <w:r w:rsidRPr="00230D53">
        <w:tab/>
        <w:t>The 2025 Report recommended Slovenia to ‘complete reforms to ensure that the rules or mechanisms are in place to provide funding for public service media that is appropriate for the realisation of its public service remit while guaranteeing its independence’. Some progress was previously assessed on this recommendation in 2025.</w:t>
      </w:r>
    </w:p>
  </w:footnote>
  <w:footnote w:id="108">
    <w:p w14:paraId="0845393A"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Ministry of Culture.</w:t>
      </w:r>
    </w:p>
  </w:footnote>
  <w:footnote w:id="109">
    <w:p w14:paraId="62B12DED" w14:textId="77777777" w:rsidR="001D33E1" w:rsidRPr="00230D53" w:rsidRDefault="001D33E1" w:rsidP="001D33E1">
      <w:pPr>
        <w:pStyle w:val="FootnoteText"/>
      </w:pPr>
      <w:r w:rsidRPr="00230D53">
        <w:rPr>
          <w:rStyle w:val="FootnoteReference"/>
        </w:rPr>
        <w:footnoteRef/>
      </w:r>
      <w:r w:rsidRPr="00230D53">
        <w:t xml:space="preserve"> </w:t>
      </w:r>
      <w:r w:rsidRPr="00230D53">
        <w:tab/>
        <w:t>Slovenian Parliament (2026), written input, p. 6.</w:t>
      </w:r>
    </w:p>
  </w:footnote>
  <w:footnote w:id="110">
    <w:p w14:paraId="423BBE5B" w14:textId="77777777" w:rsidR="001D33E1" w:rsidRPr="00230D53" w:rsidRDefault="001D33E1" w:rsidP="001D33E1">
      <w:pPr>
        <w:pStyle w:val="FootnoteText"/>
      </w:pPr>
      <w:r w:rsidRPr="00230D53">
        <w:rPr>
          <w:rStyle w:val="FootnoteReference"/>
        </w:rPr>
        <w:footnoteRef/>
      </w:r>
      <w:r w:rsidRPr="00230D53">
        <w:t xml:space="preserve"> </w:t>
      </w:r>
      <w:r w:rsidRPr="00230D53">
        <w:tab/>
        <w:t>Liberties (2026), p. 28.</w:t>
      </w:r>
      <w:r>
        <w:t xml:space="preserve"> Similarly, the Media Pluralism Monitor (2026), p. 27.</w:t>
      </w:r>
    </w:p>
  </w:footnote>
  <w:footnote w:id="111">
    <w:p w14:paraId="09027A0F"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RTV Management.</w:t>
      </w:r>
    </w:p>
  </w:footnote>
  <w:footnote w:id="112">
    <w:p w14:paraId="3F11527D"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CNVOS.</w:t>
      </w:r>
    </w:p>
  </w:footnote>
  <w:footnote w:id="113">
    <w:p w14:paraId="1696525D" w14:textId="77777777" w:rsidR="001D33E1" w:rsidRPr="00230D53" w:rsidRDefault="001D33E1" w:rsidP="001D33E1">
      <w:pPr>
        <w:pStyle w:val="FootnoteText"/>
      </w:pPr>
      <w:r w:rsidRPr="00230D53">
        <w:rPr>
          <w:rStyle w:val="FootnoteReference"/>
        </w:rPr>
        <w:footnoteRef/>
      </w:r>
      <w:r w:rsidRPr="00230D53">
        <w:t xml:space="preserve"> </w:t>
      </w:r>
      <w:r w:rsidRPr="00230D53">
        <w:tab/>
        <w:t>Liberties (2026), p. 30</w:t>
      </w:r>
      <w:r>
        <w:t xml:space="preserve">; </w:t>
      </w:r>
      <w:r w:rsidRPr="00230D53">
        <w:t>Country visit Slovenia, RTV Management.</w:t>
      </w:r>
      <w:r>
        <w:t xml:space="preserve"> </w:t>
      </w:r>
      <w:r w:rsidRPr="00230D53">
        <w:t xml:space="preserve">Some stakeholders </w:t>
      </w:r>
      <w:r>
        <w:t>raised</w:t>
      </w:r>
      <w:r w:rsidRPr="00230D53">
        <w:t xml:space="preserve"> that</w:t>
      </w:r>
      <w:r>
        <w:t>,</w:t>
      </w:r>
      <w:r w:rsidRPr="00230D53">
        <w:t xml:space="preserve"> despite the funding rules established </w:t>
      </w:r>
      <w:r>
        <w:t>by</w:t>
      </w:r>
      <w:r w:rsidRPr="00230D53">
        <w:t xml:space="preserve"> law</w:t>
      </w:r>
      <w:r>
        <w:t>,</w:t>
      </w:r>
      <w:r w:rsidRPr="00230D53">
        <w:t xml:space="preserve"> RTV management still needs to sign contracts with the Government on the annual transfer of funding, raising questions about the independence and predictability of funding</w:t>
      </w:r>
      <w:r>
        <w:t>.</w:t>
      </w:r>
    </w:p>
  </w:footnote>
  <w:footnote w:id="114">
    <w:p w14:paraId="1FE2822B" w14:textId="77777777" w:rsidR="001D33E1" w:rsidRPr="000049B3" w:rsidRDefault="001D33E1" w:rsidP="001D33E1">
      <w:pPr>
        <w:pStyle w:val="FootnoteText"/>
        <w:rPr>
          <w:lang w:val="en-IE"/>
        </w:rPr>
      </w:pPr>
      <w:r>
        <w:rPr>
          <w:rStyle w:val="FootnoteReference"/>
        </w:rPr>
        <w:footnoteRef/>
      </w:r>
      <w:r>
        <w:t xml:space="preserve"> </w:t>
      </w:r>
      <w:r>
        <w:tab/>
      </w:r>
      <w:r>
        <w:rPr>
          <w:lang w:val="en-IE"/>
        </w:rPr>
        <w:t>Peace Institute (2026), written input, p. 2; Slovenian Union of Journalists (2026), written input, p. 1.</w:t>
      </w:r>
    </w:p>
  </w:footnote>
  <w:footnote w:id="115">
    <w:p w14:paraId="4FA870EE" w14:textId="77777777" w:rsidR="001D33E1" w:rsidRPr="00230D53" w:rsidRDefault="001D33E1" w:rsidP="001D33E1">
      <w:pPr>
        <w:pStyle w:val="FootnoteText"/>
      </w:pPr>
      <w:r w:rsidRPr="00230D53">
        <w:rPr>
          <w:rStyle w:val="FootnoteReference"/>
        </w:rPr>
        <w:footnoteRef/>
      </w:r>
      <w:r w:rsidRPr="00230D53">
        <w:t xml:space="preserve"> </w:t>
      </w:r>
      <w:r w:rsidRPr="00230D53">
        <w:tab/>
        <w:t>Act on the Slovenian Press Agency</w:t>
      </w:r>
      <w:r>
        <w:t>.</w:t>
      </w:r>
      <w:r w:rsidRPr="00230D53">
        <w:t xml:space="preserve"> Slovenian Parliament (2026), written input, p. 6.</w:t>
      </w:r>
    </w:p>
  </w:footnote>
  <w:footnote w:id="116">
    <w:p w14:paraId="0C0134FA" w14:textId="77777777" w:rsidR="001D33E1" w:rsidRPr="00230D53" w:rsidRDefault="001D33E1" w:rsidP="001D33E1">
      <w:pPr>
        <w:pStyle w:val="FootnoteText"/>
      </w:pPr>
      <w:r w:rsidRPr="00230D53">
        <w:rPr>
          <w:rStyle w:val="FootnoteReference"/>
        </w:rPr>
        <w:footnoteRef/>
      </w:r>
      <w:r w:rsidRPr="00230D53">
        <w:t xml:space="preserve"> </w:t>
      </w:r>
      <w:r w:rsidRPr="00230D53">
        <w:tab/>
        <w:t>Liberties (2026), p. 28.</w:t>
      </w:r>
    </w:p>
  </w:footnote>
  <w:footnote w:id="117">
    <w:p w14:paraId="255A1E7C" w14:textId="77777777" w:rsidR="001D33E1" w:rsidRPr="00230D53" w:rsidRDefault="001D33E1" w:rsidP="001D33E1">
      <w:pPr>
        <w:pStyle w:val="FootnoteText"/>
      </w:pPr>
      <w:r w:rsidRPr="00230D53">
        <w:rPr>
          <w:rStyle w:val="FootnoteReference"/>
        </w:rPr>
        <w:footnoteRef/>
      </w:r>
      <w:r w:rsidRPr="00230D53">
        <w:t xml:space="preserve"> </w:t>
      </w:r>
      <w:r w:rsidRPr="00230D53">
        <w:tab/>
        <w:t>Liberties (2026), pp. 40-41.</w:t>
      </w:r>
    </w:p>
  </w:footnote>
  <w:footnote w:id="118">
    <w:p w14:paraId="0D502F5A" w14:textId="77777777" w:rsidR="001D33E1" w:rsidRPr="000049B3" w:rsidRDefault="001D33E1" w:rsidP="001D33E1">
      <w:pPr>
        <w:pStyle w:val="FootnoteText"/>
        <w:rPr>
          <w:lang w:val="en-IE"/>
        </w:rPr>
      </w:pPr>
      <w:r>
        <w:rPr>
          <w:rStyle w:val="FootnoteReference"/>
        </w:rPr>
        <w:footnoteRef/>
      </w:r>
      <w:r>
        <w:t xml:space="preserve"> </w:t>
      </w:r>
      <w:r>
        <w:tab/>
      </w:r>
      <w:r w:rsidRPr="000C2596">
        <w:t>Slovenian Government (2026), additional written input, p.</w:t>
      </w:r>
      <w:r>
        <w:t xml:space="preserve"> 8.</w:t>
      </w:r>
    </w:p>
  </w:footnote>
  <w:footnote w:id="119">
    <w:p w14:paraId="58353AEE" w14:textId="77777777" w:rsidR="001D33E1" w:rsidRPr="00500ABE" w:rsidRDefault="001D33E1" w:rsidP="001D33E1">
      <w:pPr>
        <w:pStyle w:val="FootnoteText"/>
      </w:pPr>
      <w:r>
        <w:rPr>
          <w:rStyle w:val="FootnoteReference"/>
        </w:rPr>
        <w:footnoteRef/>
      </w:r>
      <w:r>
        <w:t xml:space="preserve"> </w:t>
      </w:r>
      <w:r>
        <w:tab/>
      </w:r>
      <w:r w:rsidRPr="006A5CFE">
        <w:t>Media Pluralism Monitor (202</w:t>
      </w:r>
      <w:r>
        <w:t>6</w:t>
      </w:r>
      <w:r w:rsidRPr="006A5CFE">
        <w:t>), p</w:t>
      </w:r>
      <w:r>
        <w:t>. 17.</w:t>
      </w:r>
    </w:p>
  </w:footnote>
  <w:footnote w:id="120">
    <w:p w14:paraId="775CB750" w14:textId="0B8366A3" w:rsidR="00553BA7" w:rsidRPr="00A36547" w:rsidRDefault="00553BA7">
      <w:pPr>
        <w:pStyle w:val="FootnoteText"/>
        <w:rPr>
          <w:lang w:val="en-IE"/>
        </w:rPr>
      </w:pPr>
      <w:r>
        <w:rPr>
          <w:rStyle w:val="FootnoteReference"/>
        </w:rPr>
        <w:footnoteRef/>
      </w:r>
      <w:r>
        <w:rPr>
          <w:lang w:val="en-IE"/>
        </w:rPr>
        <w:tab/>
      </w:r>
      <w:r w:rsidRPr="00230D53">
        <w:t>On 27 September 2025, the Media Act entered into force, which marks the first comprehensive overhaul of media legislation in more than twenty years.</w:t>
      </w:r>
    </w:p>
  </w:footnote>
  <w:footnote w:id="121">
    <w:p w14:paraId="0D228EE3"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Ministry of Culture.</w:t>
      </w:r>
    </w:p>
  </w:footnote>
  <w:footnote w:id="122">
    <w:p w14:paraId="01D04674"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AKOS.</w:t>
      </w:r>
    </w:p>
  </w:footnote>
  <w:footnote w:id="123">
    <w:p w14:paraId="2E2B7528"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CNVOS; Liberties (2026), p. 39</w:t>
      </w:r>
      <w:r>
        <w:t>; The Peace Institute (2026), written input, p. 3</w:t>
      </w:r>
      <w:r w:rsidRPr="00230D53">
        <w:t>.</w:t>
      </w:r>
    </w:p>
  </w:footnote>
  <w:footnote w:id="124">
    <w:p w14:paraId="543A4F08" w14:textId="77777777" w:rsidR="001D33E1" w:rsidRPr="000049B3" w:rsidRDefault="001D33E1" w:rsidP="001D33E1">
      <w:pPr>
        <w:pStyle w:val="FootnoteText"/>
        <w:rPr>
          <w:lang w:val="en-IE"/>
        </w:rPr>
      </w:pPr>
      <w:r>
        <w:rPr>
          <w:rStyle w:val="FootnoteReference"/>
        </w:rPr>
        <w:footnoteRef/>
      </w:r>
      <w:r>
        <w:t xml:space="preserve"> </w:t>
      </w:r>
      <w:r>
        <w:tab/>
      </w:r>
      <w:r w:rsidRPr="002E4A5C">
        <w:t>Country visit Slovenia, Ministry of Culture.</w:t>
      </w:r>
    </w:p>
  </w:footnote>
  <w:footnote w:id="125">
    <w:p w14:paraId="5BF6CC08"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AKOS.</w:t>
      </w:r>
    </w:p>
  </w:footnote>
  <w:footnote w:id="126">
    <w:p w14:paraId="25FE3EDA" w14:textId="77777777" w:rsidR="001D33E1" w:rsidRPr="00230D53" w:rsidRDefault="001D33E1" w:rsidP="001D33E1">
      <w:pPr>
        <w:pStyle w:val="FootnoteText"/>
      </w:pPr>
      <w:r w:rsidRPr="00230D53">
        <w:rPr>
          <w:rStyle w:val="FootnoteReference"/>
        </w:rPr>
        <w:footnoteRef/>
      </w:r>
      <w:r w:rsidRPr="00230D53">
        <w:t xml:space="preserve"> </w:t>
      </w:r>
      <w:r w:rsidRPr="00230D53">
        <w:tab/>
      </w:r>
      <w:r>
        <w:t xml:space="preserve">Slovenia is a </w:t>
      </w:r>
      <w:r w:rsidRPr="00230D53">
        <w:t xml:space="preserve">party to the Council of Europe Convention on Access to Official Documents, Access to Public Information Access Act. Country visit Slovenia, Association </w:t>
      </w:r>
      <w:r>
        <w:t>of</w:t>
      </w:r>
      <w:r w:rsidRPr="00230D53">
        <w:t xml:space="preserve"> Journalists.</w:t>
      </w:r>
    </w:p>
  </w:footnote>
  <w:footnote w:id="127">
    <w:p w14:paraId="25BDF2E9" w14:textId="77777777" w:rsidR="001D33E1" w:rsidRPr="00B268F1" w:rsidRDefault="001D33E1" w:rsidP="001D33E1">
      <w:pPr>
        <w:pStyle w:val="FootnoteText"/>
      </w:pPr>
      <w:r w:rsidRPr="00230D53">
        <w:rPr>
          <w:rStyle w:val="FootnoteReference"/>
        </w:rPr>
        <w:footnoteRef/>
      </w:r>
      <w:r w:rsidRPr="00230D53">
        <w:t xml:space="preserve"> </w:t>
      </w:r>
      <w:r w:rsidRPr="00230D53">
        <w:tab/>
        <w:t>Art. 45, Media Act.</w:t>
      </w:r>
    </w:p>
  </w:footnote>
  <w:footnote w:id="128">
    <w:p w14:paraId="031C9397"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Association of Journalists (2025); </w:t>
      </w:r>
      <w:r>
        <w:t>The Peace Institute (2026), written input, p. 6;</w:t>
      </w:r>
      <w:r w:rsidRPr="00230D53">
        <w:t xml:space="preserve"> Country visit Slovenia, CNVOS.</w:t>
      </w:r>
    </w:p>
  </w:footnote>
  <w:footnote w:id="129">
    <w:p w14:paraId="7A56AB25" w14:textId="77777777" w:rsidR="001D33E1" w:rsidRPr="002E4A5C" w:rsidRDefault="001D33E1" w:rsidP="001D33E1">
      <w:pPr>
        <w:pStyle w:val="FootnoteText"/>
        <w:rPr>
          <w:lang w:val="en-IE"/>
        </w:rPr>
      </w:pPr>
      <w:r>
        <w:rPr>
          <w:rStyle w:val="FootnoteReference"/>
        </w:rPr>
        <w:footnoteRef/>
      </w:r>
      <w:r>
        <w:t xml:space="preserve"> </w:t>
      </w:r>
      <w:r>
        <w:tab/>
        <w:t xml:space="preserve">Association of Journalists (2025), pp. 1-2. </w:t>
      </w:r>
      <w:r w:rsidRPr="00C53051">
        <w:t>In the past 17 years, the number of complaints submitted to the Information Commissioner has increased sevenfold, while journalists represent just under 10% of all complainants. Approximately 9–12% of decisions are subject to judicial review by the Administrative Court</w:t>
      </w:r>
      <w:r>
        <w:t xml:space="preserve">. </w:t>
      </w:r>
      <w:r w:rsidRPr="00FC56BD">
        <w:t>More than half of the contested cases ended in favour of journalists</w:t>
      </w:r>
      <w:r w:rsidRPr="00C53051">
        <w:t>.</w:t>
      </w:r>
      <w:r>
        <w:t xml:space="preserve"> </w:t>
      </w:r>
      <w:r w:rsidRPr="00DE133E">
        <w:t>Journalists had to wait on average two years to reach a decision</w:t>
      </w:r>
      <w:r>
        <w:t>.</w:t>
      </w:r>
    </w:p>
  </w:footnote>
  <w:footnote w:id="130">
    <w:p w14:paraId="69F0997C" w14:textId="77777777" w:rsidR="001D33E1" w:rsidRPr="001C1B43" w:rsidRDefault="001D33E1" w:rsidP="001D33E1">
      <w:pPr>
        <w:pStyle w:val="FootnoteText"/>
      </w:pPr>
      <w:r>
        <w:rPr>
          <w:rStyle w:val="FootnoteReference"/>
        </w:rPr>
        <w:footnoteRef/>
      </w:r>
      <w:r>
        <w:t xml:space="preserve"> </w:t>
      </w:r>
      <w:r>
        <w:tab/>
      </w:r>
      <w:r w:rsidRPr="006A5CFE">
        <w:t>Media Pluralism Monitor (202</w:t>
      </w:r>
      <w:r>
        <w:t>6</w:t>
      </w:r>
      <w:r w:rsidRPr="006A5CFE">
        <w:t>), p</w:t>
      </w:r>
      <w:r>
        <w:t>. 11.</w:t>
      </w:r>
    </w:p>
  </w:footnote>
  <w:footnote w:id="131">
    <w:p w14:paraId="4E3D224E"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Association </w:t>
      </w:r>
      <w:r>
        <w:t>of</w:t>
      </w:r>
      <w:r w:rsidRPr="00230D53">
        <w:t xml:space="preserve"> Journalists</w:t>
      </w:r>
      <w:r>
        <w:t>;</w:t>
      </w:r>
      <w:r w:rsidRPr="00230D53">
        <w:t xml:space="preserve"> Liberties (2026), p. 41</w:t>
      </w:r>
      <w:r>
        <w:t xml:space="preserve">; Slovenian Union of Journalists (2026), written input, p. 2; The Peace Institute (2026), written input, p. 3. </w:t>
      </w:r>
    </w:p>
  </w:footnote>
  <w:footnote w:id="132">
    <w:p w14:paraId="1A59F8A2" w14:textId="77777777" w:rsidR="001D33E1" w:rsidRPr="002E4A5C" w:rsidRDefault="001D33E1" w:rsidP="001D33E1">
      <w:pPr>
        <w:pStyle w:val="FootnoteText"/>
        <w:rPr>
          <w:lang w:val="en-IE"/>
        </w:rPr>
      </w:pPr>
      <w:r>
        <w:rPr>
          <w:rStyle w:val="FootnoteReference"/>
        </w:rPr>
        <w:footnoteRef/>
      </w:r>
      <w:r>
        <w:t xml:space="preserve"> </w:t>
      </w:r>
      <w:r>
        <w:tab/>
      </w:r>
      <w:r>
        <w:rPr>
          <w:lang w:val="en-IE"/>
        </w:rPr>
        <w:t xml:space="preserve">The Peace Institute (2026), written input, p. 4; </w:t>
      </w:r>
      <w:r w:rsidRPr="00C40D5E">
        <w:rPr>
          <w:lang w:val="en-IE"/>
        </w:rPr>
        <w:t>Slovenian Union of Journalists</w:t>
      </w:r>
      <w:r>
        <w:rPr>
          <w:lang w:val="en-IE"/>
        </w:rPr>
        <w:t xml:space="preserve"> (2026), written input, p. 2.</w:t>
      </w:r>
    </w:p>
  </w:footnote>
  <w:footnote w:id="133">
    <w:p w14:paraId="08A420B8" w14:textId="77777777" w:rsidR="001D33E1" w:rsidRPr="00230D53" w:rsidRDefault="001D33E1" w:rsidP="001D33E1">
      <w:pPr>
        <w:pStyle w:val="FootnoteText"/>
      </w:pPr>
      <w:r w:rsidRPr="00230D53">
        <w:rPr>
          <w:rStyle w:val="FootnoteReference"/>
        </w:rPr>
        <w:footnoteRef/>
      </w:r>
      <w:r w:rsidRPr="00230D53">
        <w:t xml:space="preserve"> </w:t>
      </w:r>
      <w:r w:rsidRPr="00230D53">
        <w:tab/>
        <w:t>Liberties (2026), p. 39</w:t>
      </w:r>
      <w:r>
        <w:t>; Slovenian Union of Journalists (2026), written input, p. 2.</w:t>
      </w:r>
    </w:p>
  </w:footnote>
  <w:footnote w:id="134">
    <w:p w14:paraId="1B87D95C"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AKOS; RTV Council. The Media Act establishes dedicated state aid schemes for both the digital transformation of print media and the production of digital-only media. </w:t>
      </w:r>
    </w:p>
  </w:footnote>
  <w:footnote w:id="135">
    <w:p w14:paraId="45AA5FD6"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AKOS. </w:t>
      </w:r>
    </w:p>
  </w:footnote>
  <w:footnote w:id="136">
    <w:p w14:paraId="342B5E2C"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County visit Slovenia, Association </w:t>
      </w:r>
      <w:r>
        <w:t>of</w:t>
      </w:r>
      <w:r w:rsidRPr="00230D53">
        <w:t xml:space="preserve"> Journalists. The new Media Act also establishes a legal framework for allocating public funding to NGOs holding public-interest status in the media sector, including professional associations. This framework may, in the future, be used to support public financing of journalists’ professional associations engaged in the protection and safety of journalists.</w:t>
      </w:r>
    </w:p>
  </w:footnote>
  <w:footnote w:id="137">
    <w:p w14:paraId="7EC8981F" w14:textId="77777777" w:rsidR="001D33E1" w:rsidRPr="009377E6" w:rsidRDefault="001D33E1" w:rsidP="001D33E1">
      <w:pPr>
        <w:pStyle w:val="FootnoteText"/>
      </w:pPr>
      <w:r>
        <w:rPr>
          <w:rStyle w:val="FootnoteReference"/>
        </w:rPr>
        <w:footnoteRef/>
      </w:r>
      <w:r>
        <w:t xml:space="preserve"> </w:t>
      </w:r>
      <w:r>
        <w:tab/>
      </w:r>
      <w:r w:rsidRPr="006A5CFE">
        <w:t>Media Pluralism Monitor (202</w:t>
      </w:r>
      <w:r>
        <w:t>6</w:t>
      </w:r>
      <w:r w:rsidRPr="006A5CFE">
        <w:t>), p</w:t>
      </w:r>
      <w:r>
        <w:t>. 11.</w:t>
      </w:r>
    </w:p>
  </w:footnote>
  <w:footnote w:id="138">
    <w:p w14:paraId="7080CACE" w14:textId="77777777" w:rsidR="001D33E1" w:rsidRPr="00230D53" w:rsidRDefault="001D33E1" w:rsidP="001D33E1">
      <w:pPr>
        <w:pStyle w:val="FootnoteText"/>
      </w:pPr>
      <w:r w:rsidRPr="00230D53">
        <w:rPr>
          <w:rStyle w:val="FootnoteReference"/>
        </w:rPr>
        <w:footnoteRef/>
      </w:r>
      <w:r w:rsidRPr="00230D53">
        <w:t xml:space="preserve"> </w:t>
      </w:r>
      <w:r w:rsidRPr="00230D53">
        <w:tab/>
        <w:t>2025 Report recommended Slovenia to ‘[f]urther advance with the process of adopting legislative and non-legislative safeguards to improve the protection of journalists, taking into account European standards on the protection of journalists’. Some progress was previously assessed on this recommendation in 2025, 2024 and 2023.</w:t>
      </w:r>
    </w:p>
  </w:footnote>
  <w:footnote w:id="139">
    <w:p w14:paraId="17F13042" w14:textId="77777777" w:rsidR="001D33E1" w:rsidRPr="00230D53" w:rsidRDefault="001D33E1" w:rsidP="001D33E1">
      <w:pPr>
        <w:pStyle w:val="FootnoteText"/>
      </w:pPr>
      <w:r w:rsidRPr="00230D53">
        <w:rPr>
          <w:rStyle w:val="FootnoteReference"/>
        </w:rPr>
        <w:footnoteRef/>
      </w:r>
      <w:r w:rsidRPr="00230D53">
        <w:t xml:space="preserve"> </w:t>
      </w:r>
      <w:r w:rsidRPr="00230D53">
        <w:tab/>
        <w:t>Liberties (2026), p. 29; Country visit Slovenia, RTV Council.</w:t>
      </w:r>
    </w:p>
  </w:footnote>
  <w:footnote w:id="140">
    <w:p w14:paraId="1AD50B5A" w14:textId="77777777" w:rsidR="001D33E1" w:rsidRDefault="001D33E1" w:rsidP="001D33E1">
      <w:pPr>
        <w:pStyle w:val="FootnoteText"/>
      </w:pPr>
      <w:r>
        <w:rPr>
          <w:rStyle w:val="FootnoteReference"/>
        </w:rPr>
        <w:footnoteRef/>
      </w:r>
      <w:r>
        <w:t xml:space="preserve"> </w:t>
      </w:r>
      <w:r>
        <w:tab/>
        <w:t>Country visit Slovenia, AKOS.</w:t>
      </w:r>
    </w:p>
  </w:footnote>
  <w:footnote w:id="141">
    <w:p w14:paraId="7A213816"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Ministry of Justice.</w:t>
      </w:r>
    </w:p>
  </w:footnote>
  <w:footnote w:id="142">
    <w:p w14:paraId="67718D44"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Association of Journalists. </w:t>
      </w:r>
    </w:p>
  </w:footnote>
  <w:footnote w:id="143">
    <w:p w14:paraId="0A454B7D"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Ministry of Justice.</w:t>
      </w:r>
      <w:r>
        <w:t xml:space="preserve"> This safeguard implies </w:t>
      </w:r>
      <w:r w:rsidRPr="00C7496D">
        <w:t>allowing a court, once it suspects a claim may be a SLAPP, to order the claimant to deposit money or provide a bank guarantee that can later be used to cover the defendant’s legal costs if the case fails</w:t>
      </w:r>
      <w:r>
        <w:t>. Anti-SLAPP Act, Article 20.</w:t>
      </w:r>
    </w:p>
  </w:footnote>
  <w:footnote w:id="144">
    <w:p w14:paraId="1F6DAF76" w14:textId="77777777" w:rsidR="001D33E1" w:rsidRPr="00230D53" w:rsidRDefault="001D33E1" w:rsidP="001D33E1">
      <w:pPr>
        <w:pStyle w:val="FootnoteText"/>
      </w:pPr>
      <w:r w:rsidRPr="00230D53">
        <w:rPr>
          <w:rStyle w:val="FootnoteReference"/>
        </w:rPr>
        <w:footnoteRef/>
      </w:r>
      <w:r w:rsidRPr="00230D53">
        <w:t xml:space="preserve"> </w:t>
      </w:r>
      <w:r w:rsidRPr="00230D53">
        <w:tab/>
      </w:r>
      <w:r>
        <w:t xml:space="preserve">Stakeholders raised the possibility of early dismissal as an additional possible safeguard for criminal cases. </w:t>
      </w:r>
      <w:r w:rsidRPr="00230D53">
        <w:t>Country visit Slovenia, Association of Journalists.</w:t>
      </w:r>
    </w:p>
  </w:footnote>
  <w:footnote w:id="145">
    <w:p w14:paraId="4DF10C6C"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Ministry of Justice</w:t>
      </w:r>
    </w:p>
  </w:footnote>
  <w:footnote w:id="146">
    <w:p w14:paraId="33765ACF"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Ministry of Justice.</w:t>
      </w:r>
    </w:p>
  </w:footnote>
  <w:footnote w:id="147">
    <w:p w14:paraId="5E868D4A" w14:textId="77777777" w:rsidR="001D33E1" w:rsidRPr="002E4A5C" w:rsidRDefault="001D33E1" w:rsidP="001D33E1">
      <w:pPr>
        <w:pStyle w:val="FootnoteText"/>
        <w:rPr>
          <w:lang w:val="en-IE"/>
        </w:rPr>
      </w:pPr>
      <w:r>
        <w:rPr>
          <w:rStyle w:val="FootnoteReference"/>
        </w:rPr>
        <w:footnoteRef/>
      </w:r>
      <w:r>
        <w:t xml:space="preserve"> </w:t>
      </w:r>
      <w:r>
        <w:tab/>
      </w:r>
      <w:r>
        <w:rPr>
          <w:lang w:val="en-IE"/>
        </w:rPr>
        <w:t xml:space="preserve">Coalition Against SLAPPs in Europe (2026), Report: </w:t>
      </w:r>
      <w:r w:rsidRPr="008F503B">
        <w:rPr>
          <w:lang w:val="en-IE"/>
        </w:rPr>
        <w:t>A 2025 Report on SLAPPs in Europe: Democracy in the Dock</w:t>
      </w:r>
      <w:r>
        <w:rPr>
          <w:lang w:val="en-IE"/>
        </w:rPr>
        <w:t xml:space="preserve">, p. 16. </w:t>
      </w:r>
    </w:p>
  </w:footnote>
  <w:footnote w:id="148">
    <w:p w14:paraId="6AE744C5" w14:textId="77777777" w:rsidR="001D33E1" w:rsidRPr="00230D53" w:rsidRDefault="001D33E1" w:rsidP="001D33E1">
      <w:pPr>
        <w:pStyle w:val="FootnoteText"/>
      </w:pPr>
      <w:r w:rsidRPr="00230D53">
        <w:rPr>
          <w:rStyle w:val="FootnoteReference"/>
        </w:rPr>
        <w:footnoteRef/>
      </w:r>
      <w:r w:rsidRPr="00230D53">
        <w:t xml:space="preserve"> </w:t>
      </w:r>
      <w:r w:rsidRPr="00230D53">
        <w:tab/>
        <w:t>The Association of Journalists stated that SLAPP cases against journalists are largely underreported, due to concerns of journalists on the effectiveness of the protection mechanisms and the legal costs.</w:t>
      </w:r>
    </w:p>
  </w:footnote>
  <w:footnote w:id="149">
    <w:p w14:paraId="45462131" w14:textId="77777777" w:rsidR="001D33E1" w:rsidRPr="00230D53" w:rsidRDefault="001D33E1" w:rsidP="001D33E1">
      <w:pPr>
        <w:pStyle w:val="FootnoteText"/>
      </w:pPr>
      <w:r w:rsidRPr="00230D53">
        <w:rPr>
          <w:rStyle w:val="FootnoteReference"/>
        </w:rPr>
        <w:footnoteRef/>
      </w:r>
      <w:r w:rsidRPr="00230D53">
        <w:t xml:space="preserve"> </w:t>
      </w:r>
      <w:r w:rsidRPr="00230D53">
        <w:tab/>
        <w:t>In April 2026, the Ministry of Justice organised a conference dedicated to journalists and civil society to promote the Anti-SLAPP Act. Country visit Slovenia, Ministry of Justice.</w:t>
      </w:r>
    </w:p>
  </w:footnote>
  <w:footnote w:id="150">
    <w:p w14:paraId="2E7436BC" w14:textId="45CC41ED" w:rsidR="001D33E1" w:rsidRPr="00230D53" w:rsidRDefault="001D33E1" w:rsidP="001D33E1">
      <w:pPr>
        <w:pStyle w:val="FootnoteText"/>
      </w:pPr>
      <w:r w:rsidRPr="00230D53">
        <w:rPr>
          <w:rStyle w:val="FootnoteReference"/>
        </w:rPr>
        <w:footnoteRef/>
      </w:r>
      <w:r w:rsidRPr="00230D53">
        <w:t xml:space="preserve"> </w:t>
      </w:r>
      <w:r w:rsidRPr="00230D53">
        <w:tab/>
        <w:t>Article 16 of Act on Protective Measures against Strategic Lawsuits Against Public Participation.</w:t>
      </w:r>
      <w:r w:rsidRPr="00230D53">
        <w:rPr>
          <w:b/>
          <w:bCs/>
        </w:rPr>
        <w:t xml:space="preserve"> </w:t>
      </w:r>
      <w:r w:rsidRPr="00230D53">
        <w:t>The focal point for providing relevant information on available support measures was already established within the Ministry of Justice in 202</w:t>
      </w:r>
      <w:r w:rsidR="00257E3D">
        <w:t>6</w:t>
      </w:r>
      <w:r w:rsidRPr="00230D53">
        <w:t>.</w:t>
      </w:r>
      <w:r>
        <w:t xml:space="preserve"> Ministry of Justice (2026).</w:t>
      </w:r>
    </w:p>
  </w:footnote>
  <w:footnote w:id="151">
    <w:p w14:paraId="3B648D49" w14:textId="77777777" w:rsidR="001D33E1" w:rsidRPr="00230D53" w:rsidRDefault="001D33E1" w:rsidP="001D33E1">
      <w:pPr>
        <w:pStyle w:val="FootnoteText"/>
      </w:pPr>
      <w:r w:rsidRPr="00230D53">
        <w:rPr>
          <w:rStyle w:val="FootnoteReference"/>
        </w:rPr>
        <w:footnoteRef/>
      </w:r>
      <w:r w:rsidRPr="00230D53">
        <w:t xml:space="preserve"> </w:t>
      </w:r>
      <w:r w:rsidRPr="00230D53">
        <w:tab/>
        <w:t>Country visit Slovenia, Association of Journalists.</w:t>
      </w:r>
    </w:p>
  </w:footnote>
  <w:footnote w:id="152">
    <w:p w14:paraId="1B8CEBD5" w14:textId="77777777" w:rsidR="001D33E1" w:rsidRPr="00230D53" w:rsidRDefault="001D33E1" w:rsidP="001D33E1">
      <w:pPr>
        <w:pStyle w:val="FootnoteText"/>
        <w:tabs>
          <w:tab w:val="left" w:pos="720"/>
          <w:tab w:val="left" w:pos="1440"/>
          <w:tab w:val="left" w:pos="2160"/>
          <w:tab w:val="left" w:pos="2730"/>
        </w:tabs>
      </w:pPr>
      <w:r w:rsidRPr="00230D53">
        <w:rPr>
          <w:rStyle w:val="FootnoteReference"/>
        </w:rPr>
        <w:footnoteRef/>
      </w:r>
      <w:r w:rsidRPr="00230D53">
        <w:t xml:space="preserve"> </w:t>
      </w:r>
      <w:r w:rsidRPr="00230D53">
        <w:tab/>
      </w:r>
      <w:r>
        <w:t>The Peace Institute (2026), written input, p. 5</w:t>
      </w:r>
      <w:r w:rsidRPr="00230D53" w:rsidDel="00896B9C">
        <w:t>.</w:t>
      </w:r>
      <w:r>
        <w:tab/>
      </w:r>
      <w:r>
        <w:tab/>
      </w:r>
    </w:p>
  </w:footnote>
  <w:footnote w:id="153">
    <w:p w14:paraId="712CCC98" w14:textId="623F28C1" w:rsidR="00C257BE" w:rsidRPr="000420B0" w:rsidRDefault="00C257BE" w:rsidP="00C257BE">
      <w:pPr>
        <w:pStyle w:val="FootnoteText"/>
        <w:rPr>
          <w:lang w:val="en-IE"/>
        </w:rPr>
      </w:pPr>
      <w:r>
        <w:rPr>
          <w:rStyle w:val="FootnoteReference"/>
        </w:rPr>
        <w:footnoteRef/>
      </w:r>
      <w:r>
        <w:t xml:space="preserve"> </w:t>
      </w:r>
      <w:r>
        <w:rPr>
          <w:lang w:val="en-IE"/>
        </w:rPr>
        <w:t xml:space="preserve"> </w:t>
      </w:r>
      <w:r w:rsidR="0065498B">
        <w:rPr>
          <w:lang w:val="en-IE"/>
        </w:rPr>
        <w:tab/>
      </w:r>
      <w:r>
        <w:rPr>
          <w:lang w:val="en-IE"/>
        </w:rPr>
        <w:t>Slovenian</w:t>
      </w:r>
      <w:r w:rsidRPr="00D6335C">
        <w:rPr>
          <w:lang w:val="en-IE"/>
        </w:rPr>
        <w:t xml:space="preserve"> Government (2026b), additional written input, p. </w:t>
      </w:r>
      <w:r>
        <w:rPr>
          <w:lang w:val="en-IE"/>
        </w:rPr>
        <w:t>10</w:t>
      </w:r>
      <w:r w:rsidRPr="00D6335C">
        <w:rPr>
          <w:lang w:val="en-IE"/>
        </w:rPr>
        <w:t>.</w:t>
      </w:r>
      <w:r>
        <w:rPr>
          <w:lang w:val="en-IE"/>
        </w:rPr>
        <w:t xml:space="preserve"> As reported by the </w:t>
      </w:r>
      <w:r w:rsidR="0065498B">
        <w:rPr>
          <w:lang w:val="en-IE"/>
        </w:rPr>
        <w:t xml:space="preserve">former </w:t>
      </w:r>
      <w:r>
        <w:rPr>
          <w:lang w:val="en-IE"/>
        </w:rPr>
        <w:t>Government, a</w:t>
      </w:r>
      <w:r w:rsidRPr="00FF22C2">
        <w:rPr>
          <w:lang w:val="en-IE"/>
        </w:rPr>
        <w:t xml:space="preserve"> dedicated website has </w:t>
      </w:r>
      <w:r w:rsidR="004F261F">
        <w:rPr>
          <w:lang w:val="en-IE"/>
        </w:rPr>
        <w:t xml:space="preserve">also </w:t>
      </w:r>
      <w:r w:rsidRPr="00FF22C2">
        <w:rPr>
          <w:lang w:val="en-IE"/>
        </w:rPr>
        <w:t>been</w:t>
      </w:r>
      <w:r>
        <w:rPr>
          <w:lang w:val="en-IE"/>
        </w:rPr>
        <w:t xml:space="preserve"> </w:t>
      </w:r>
      <w:r w:rsidRPr="00FF22C2">
        <w:rPr>
          <w:lang w:val="en-IE"/>
        </w:rPr>
        <w:t xml:space="preserve">set up, and </w:t>
      </w:r>
      <w:r>
        <w:rPr>
          <w:lang w:val="en-IE"/>
        </w:rPr>
        <w:t>some</w:t>
      </w:r>
      <w:r w:rsidRPr="00FF22C2">
        <w:rPr>
          <w:lang w:val="en-IE"/>
        </w:rPr>
        <w:t xml:space="preserve"> public events aimed at raising awareness and informing the public </w:t>
      </w:r>
      <w:r w:rsidR="00E83161">
        <w:rPr>
          <w:lang w:val="en-IE"/>
        </w:rPr>
        <w:t xml:space="preserve">have been </w:t>
      </w:r>
      <w:r w:rsidRPr="00FF22C2">
        <w:rPr>
          <w:lang w:val="en-IE"/>
        </w:rPr>
        <w:t>organised.</w:t>
      </w:r>
    </w:p>
  </w:footnote>
  <w:footnote w:id="154">
    <w:p w14:paraId="08401AB5" w14:textId="02C0AA2C" w:rsidR="001D33E1" w:rsidRPr="002E4A5C" w:rsidRDefault="001D33E1" w:rsidP="001D33E1">
      <w:pPr>
        <w:pStyle w:val="FootnoteText"/>
        <w:rPr>
          <w:lang w:val="en-IE"/>
        </w:rPr>
      </w:pPr>
      <w:r>
        <w:rPr>
          <w:rStyle w:val="FootnoteReference"/>
        </w:rPr>
        <w:footnoteRef/>
      </w:r>
      <w:r>
        <w:t xml:space="preserve"> </w:t>
      </w:r>
      <w:r>
        <w:tab/>
      </w:r>
      <w:r w:rsidRPr="00B56CF0">
        <w:t>Council of Europe Platform to promote the protection of journalism and safety of journalists (202</w:t>
      </w:r>
      <w:r>
        <w:t>6</w:t>
      </w:r>
      <w:r w:rsidRPr="00B56CF0">
        <w:t xml:space="preserve">). </w:t>
      </w:r>
      <w:r w:rsidRPr="002C32E4">
        <w:t>One of the cases concerned a Slovenian municipality filing a criminal complaint against investigative outlet Oštro for allegedly misusing and misreporting personal data while investigating a mayor’s assets, which journalists and the Slovenian Journalists’ Association argue is an attempt to suppress legitimate public-interest reporting on political transparency.</w:t>
      </w:r>
      <w:r>
        <w:t xml:space="preserve"> The </w:t>
      </w:r>
      <w:r w:rsidR="0075011C">
        <w:t xml:space="preserve">former </w:t>
      </w:r>
      <w:r>
        <w:t xml:space="preserve">Government responded to both alerts providing the explanations. </w:t>
      </w:r>
    </w:p>
  </w:footnote>
  <w:footnote w:id="155">
    <w:p w14:paraId="1E4D3A71" w14:textId="77777777" w:rsidR="001D33E1" w:rsidRPr="0056156D" w:rsidRDefault="001D33E1" w:rsidP="001D33E1">
      <w:pPr>
        <w:pStyle w:val="FootnoteText"/>
      </w:pPr>
      <w:r>
        <w:rPr>
          <w:rStyle w:val="FootnoteReference"/>
        </w:rPr>
        <w:footnoteRef/>
      </w:r>
      <w:r>
        <w:t xml:space="preserve"> </w:t>
      </w:r>
      <w:r>
        <w:tab/>
      </w:r>
      <w:r w:rsidRPr="00D4153D">
        <w:t>European Centre for Press and Media Freedom (202</w:t>
      </w:r>
      <w:r>
        <w:t>6</w:t>
      </w:r>
      <w:r w:rsidRPr="00D4153D">
        <w:t>).</w:t>
      </w:r>
    </w:p>
  </w:footnote>
  <w:footnote w:id="156">
    <w:p w14:paraId="13C7CCBB" w14:textId="0EAB14D0" w:rsidR="001D33E1" w:rsidRPr="00256FE7" w:rsidRDefault="001D33E1" w:rsidP="001D33E1">
      <w:pPr>
        <w:pStyle w:val="FootnoteText"/>
      </w:pPr>
      <w:r w:rsidRPr="00256FE7">
        <w:rPr>
          <w:rStyle w:val="FootnoteReference"/>
        </w:rPr>
        <w:footnoteRef/>
      </w:r>
      <w:r w:rsidRPr="00256FE7">
        <w:t xml:space="preserve"> </w:t>
      </w:r>
      <w:r>
        <w:tab/>
      </w:r>
      <w:r w:rsidRPr="00256FE7">
        <w:t xml:space="preserve">Accreditation by the Global Alliance of National Human Rights Institutions (GANHRI). </w:t>
      </w:r>
      <w:r w:rsidR="00281446" w:rsidRPr="00281446">
        <w:t>The new process of re-evaluation was conducted in 2025-2026, followed by GANHRI re-confirming status A for the Ombudsperson as of 5 June 2026</w:t>
      </w:r>
      <w:r w:rsidR="00281446">
        <w:t>.</w:t>
      </w:r>
    </w:p>
  </w:footnote>
  <w:footnote w:id="157">
    <w:p w14:paraId="7305E6F1" w14:textId="4965C0CA" w:rsidR="001D33E1" w:rsidRPr="002E4A5C" w:rsidRDefault="001D33E1" w:rsidP="001D33E1">
      <w:pPr>
        <w:pStyle w:val="FootnoteText"/>
        <w:rPr>
          <w:lang w:val="en-IE"/>
        </w:rPr>
      </w:pPr>
      <w:r>
        <w:rPr>
          <w:rStyle w:val="FootnoteReference"/>
        </w:rPr>
        <w:footnoteRef/>
      </w:r>
      <w:r>
        <w:t xml:space="preserve"> </w:t>
      </w:r>
      <w:r>
        <w:rPr>
          <w:lang w:val="en-IE"/>
        </w:rPr>
        <w:t xml:space="preserve"> </w:t>
      </w:r>
      <w:r w:rsidR="00C4040B">
        <w:rPr>
          <w:lang w:val="en-IE"/>
        </w:rPr>
        <w:tab/>
      </w:r>
      <w:r>
        <w:rPr>
          <w:lang w:val="en-IE"/>
        </w:rPr>
        <w:t>Slovenian Government (2026), written input, p. 17.</w:t>
      </w:r>
      <w:r>
        <w:rPr>
          <w:lang w:val="en-IE"/>
        </w:rPr>
        <w:tab/>
      </w:r>
    </w:p>
  </w:footnote>
  <w:footnote w:id="158">
    <w:p w14:paraId="4479908E" w14:textId="77777777" w:rsidR="001D33E1" w:rsidRPr="002E4A5C" w:rsidRDefault="001D33E1" w:rsidP="001D33E1">
      <w:pPr>
        <w:pStyle w:val="FootnoteText"/>
        <w:rPr>
          <w:lang w:val="en-IE"/>
        </w:rPr>
      </w:pPr>
      <w:r>
        <w:rPr>
          <w:rStyle w:val="FootnoteReference"/>
        </w:rPr>
        <w:footnoteRef/>
      </w:r>
      <w:r>
        <w:t xml:space="preserve"> </w:t>
      </w:r>
      <w:r>
        <w:tab/>
        <w:t xml:space="preserve">The Ombudsperson’s Office reiterated its opposition </w:t>
      </w:r>
      <w:r w:rsidRPr="0048314D">
        <w:t xml:space="preserve">to the </w:t>
      </w:r>
      <w:r>
        <w:t xml:space="preserve">previously </w:t>
      </w:r>
      <w:r w:rsidRPr="0048314D">
        <w:t>proposed change that the election in Parliament would be carried out by a secret ballot (which would decrease the transparency)</w:t>
      </w:r>
      <w:r>
        <w:t xml:space="preserve">. </w:t>
      </w:r>
      <w:r>
        <w:rPr>
          <w:lang w:val="en-IE"/>
        </w:rPr>
        <w:t xml:space="preserve">Country visit Slovenia, Ombudsperson and Ministry of Justice. 2025 Rule of Law Report, Slovenia, p. 20. </w:t>
      </w:r>
    </w:p>
  </w:footnote>
  <w:footnote w:id="159">
    <w:p w14:paraId="06AB6BBC" w14:textId="77777777" w:rsidR="001D33E1" w:rsidRPr="002E4A5C" w:rsidRDefault="001D33E1" w:rsidP="001D33E1">
      <w:pPr>
        <w:pStyle w:val="FootnoteText"/>
        <w:rPr>
          <w:lang w:val="en-IE"/>
        </w:rPr>
      </w:pPr>
      <w:r>
        <w:rPr>
          <w:rStyle w:val="FootnoteReference"/>
        </w:rPr>
        <w:footnoteRef/>
      </w:r>
      <w:r>
        <w:t xml:space="preserve"> </w:t>
      </w:r>
      <w:r>
        <w:rPr>
          <w:lang w:val="en-IE"/>
        </w:rPr>
        <w:tab/>
        <w:t>Country visit Slovenia, Ombudsperson.</w:t>
      </w:r>
    </w:p>
  </w:footnote>
  <w:footnote w:id="160">
    <w:p w14:paraId="7950BE18" w14:textId="728CBFDF" w:rsidR="001D33E1" w:rsidRPr="00256FE7" w:rsidRDefault="001D33E1" w:rsidP="001D33E1">
      <w:pPr>
        <w:pStyle w:val="FootnoteText"/>
      </w:pPr>
      <w:r w:rsidRPr="00256FE7">
        <w:rPr>
          <w:rStyle w:val="FootnoteReference"/>
          <w:lang w:val="en-IE"/>
        </w:rPr>
        <w:footnoteRef/>
      </w:r>
      <w:r w:rsidRPr="00256FE7">
        <w:t xml:space="preserve"> </w:t>
      </w:r>
      <w:r>
        <w:tab/>
      </w:r>
      <w:r w:rsidR="00C4040B" w:rsidRPr="00C4040B">
        <w:t>Data provided by the Ombudsperson</w:t>
      </w:r>
      <w:r w:rsidRPr="00256FE7">
        <w:t>.</w:t>
      </w:r>
    </w:p>
  </w:footnote>
  <w:footnote w:id="161">
    <w:p w14:paraId="2999A4C4" w14:textId="77777777" w:rsidR="001D33E1" w:rsidRPr="002E4A5C" w:rsidRDefault="001D33E1" w:rsidP="001D33E1">
      <w:pPr>
        <w:pStyle w:val="FootnoteText"/>
        <w:rPr>
          <w:lang w:val="en-IE"/>
        </w:rPr>
      </w:pPr>
      <w:r>
        <w:rPr>
          <w:rStyle w:val="FootnoteReference"/>
        </w:rPr>
        <w:footnoteRef/>
      </w:r>
      <w:r>
        <w:t xml:space="preserve"> </w:t>
      </w:r>
      <w:r>
        <w:tab/>
      </w:r>
      <w:r>
        <w:rPr>
          <w:lang w:val="en-IE"/>
        </w:rPr>
        <w:t>Slovenian Government (2026), written input, p. 18.</w:t>
      </w:r>
    </w:p>
  </w:footnote>
  <w:footnote w:id="162">
    <w:p w14:paraId="0652CB66" w14:textId="43C9B315" w:rsidR="001D33E1" w:rsidRPr="00503119" w:rsidRDefault="001D33E1" w:rsidP="001D33E1">
      <w:pPr>
        <w:pStyle w:val="FootnoteText"/>
        <w:rPr>
          <w:lang w:val="en-IE"/>
        </w:rPr>
      </w:pPr>
      <w:r>
        <w:rPr>
          <w:rStyle w:val="FootnoteReference"/>
        </w:rPr>
        <w:footnoteRef/>
      </w:r>
      <w:r>
        <w:t xml:space="preserve"> </w:t>
      </w:r>
      <w:r w:rsidR="00C4040B">
        <w:tab/>
      </w:r>
      <w:r w:rsidRPr="00056D6E">
        <w:rPr>
          <w:rFonts w:eastAsia="Calibri"/>
          <w:bCs/>
          <w:lang w:eastAsia="fr-FR"/>
        </w:rPr>
        <w:t>In addition, there were 147 cases in the field of child advocacy, in which no violations are formally determined but which are nevertheless treated as substantiated complaints.</w:t>
      </w:r>
      <w:r>
        <w:rPr>
          <w:lang w:val="en-IE"/>
        </w:rPr>
        <w:tab/>
      </w:r>
    </w:p>
  </w:footnote>
  <w:footnote w:id="163">
    <w:p w14:paraId="3151B384" w14:textId="187DFC43" w:rsidR="001D33E1" w:rsidRPr="00503119" w:rsidRDefault="001D33E1" w:rsidP="001D33E1">
      <w:pPr>
        <w:pStyle w:val="FootnoteText"/>
        <w:rPr>
          <w:lang w:val="en-IE"/>
        </w:rPr>
      </w:pPr>
      <w:r>
        <w:rPr>
          <w:rStyle w:val="FootnoteReference"/>
        </w:rPr>
        <w:footnoteRef/>
      </w:r>
      <w:r>
        <w:t xml:space="preserve"> </w:t>
      </w:r>
      <w:r>
        <w:rPr>
          <w:lang w:val="en-IE"/>
        </w:rPr>
        <w:t xml:space="preserve"> </w:t>
      </w:r>
      <w:r w:rsidR="00C4040B">
        <w:rPr>
          <w:lang w:val="en-IE"/>
        </w:rPr>
        <w:tab/>
      </w:r>
      <w:r>
        <w:rPr>
          <w:lang w:val="en-IE"/>
        </w:rPr>
        <w:t>Slovenian Government (2026), written input, p. 18.</w:t>
      </w:r>
    </w:p>
  </w:footnote>
  <w:footnote w:id="164">
    <w:p w14:paraId="26608FEB" w14:textId="77777777" w:rsidR="001D33E1" w:rsidRPr="009C2EE7" w:rsidRDefault="001D33E1" w:rsidP="001D33E1">
      <w:pPr>
        <w:pStyle w:val="FootnoteText"/>
      </w:pPr>
      <w:r w:rsidRPr="00256FE7">
        <w:rPr>
          <w:rStyle w:val="FootnoteReference"/>
        </w:rPr>
        <w:footnoteRef/>
      </w:r>
      <w:r w:rsidRPr="00256FE7">
        <w:t xml:space="preserve"> </w:t>
      </w:r>
      <w:r w:rsidRPr="00256FE7">
        <w:tab/>
        <w:t>Figure</w:t>
      </w:r>
      <w:r>
        <w:t>s</w:t>
      </w:r>
      <w:r w:rsidRPr="00256FE7">
        <w:t xml:space="preserve"> </w:t>
      </w:r>
      <w:r>
        <w:t>52 and 53</w:t>
      </w:r>
      <w:r w:rsidRPr="00256FE7">
        <w:t>, 202</w:t>
      </w:r>
      <w:r>
        <w:t>6</w:t>
      </w:r>
      <w:r w:rsidRPr="00256FE7">
        <w:t xml:space="preserve"> EU Justice Scoreboard</w:t>
      </w:r>
      <w:r>
        <w:rPr>
          <w:lang w:eastAsia="fr-FR"/>
        </w:rPr>
        <w:t>. Only 19</w:t>
      </w:r>
      <w:r w:rsidRPr="009C2EE7">
        <w:rPr>
          <w:lang w:eastAsia="fr-FR"/>
        </w:rPr>
        <w:t xml:space="preserve">% </w:t>
      </w:r>
      <w:r>
        <w:rPr>
          <w:lang w:eastAsia="fr-FR"/>
        </w:rPr>
        <w:t xml:space="preserve">and 13% </w:t>
      </w:r>
      <w:r w:rsidRPr="00591976">
        <w:t>of the surveyed investors respectively perceive the frequent changes in legislation</w:t>
      </w:r>
      <w:r>
        <w:t xml:space="preserve"> </w:t>
      </w:r>
      <w:r w:rsidRPr="00196C3B">
        <w:t>or concerns about the quality of the law-making process</w:t>
      </w:r>
      <w:r>
        <w:t xml:space="preserve"> and </w:t>
      </w:r>
      <w:r w:rsidRPr="00E65DB6">
        <w:rPr>
          <w:rFonts w:eastAsia="Calibri"/>
        </w:rPr>
        <w:t>concerns about quality, efficiency or independence of justice</w:t>
      </w:r>
      <w:r>
        <w:rPr>
          <w:rFonts w:eastAsia="Calibri"/>
        </w:rPr>
        <w:t xml:space="preserve"> </w:t>
      </w:r>
      <w:r w:rsidRPr="00056F1D">
        <w:t>as a reason for the lack of confidence in investment protection</w:t>
      </w:r>
      <w:r w:rsidRPr="00591976">
        <w:t>.</w:t>
      </w:r>
    </w:p>
  </w:footnote>
  <w:footnote w:id="165">
    <w:p w14:paraId="617DF05A" w14:textId="77777777" w:rsidR="001D33E1" w:rsidRPr="00256FE7" w:rsidRDefault="001D33E1" w:rsidP="001D33E1">
      <w:pPr>
        <w:pStyle w:val="FootnoteText"/>
      </w:pPr>
      <w:r w:rsidRPr="009C2EE7">
        <w:rPr>
          <w:rStyle w:val="FootnoteReference"/>
        </w:rPr>
        <w:footnoteRef/>
      </w:r>
      <w:r w:rsidRPr="009C2EE7">
        <w:t xml:space="preserve"> </w:t>
      </w:r>
      <w:r w:rsidRPr="009C2EE7">
        <w:tab/>
        <w:t>Figure 60, 2026 EU Justice Scoreboard.</w:t>
      </w:r>
    </w:p>
  </w:footnote>
  <w:footnote w:id="166">
    <w:p w14:paraId="377A9F90" w14:textId="77777777" w:rsidR="001D33E1" w:rsidRPr="00866ABA" w:rsidRDefault="001D33E1" w:rsidP="001D33E1">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67">
    <w:p w14:paraId="76481C3E" w14:textId="77777777" w:rsidR="001D33E1" w:rsidRPr="00715D1C" w:rsidRDefault="001D33E1" w:rsidP="001D33E1">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3" w:history="1">
        <w:r w:rsidRPr="00101918">
          <w:rPr>
            <w:rStyle w:val="Hyperlink"/>
          </w:rPr>
          <w:t>website</w:t>
        </w:r>
      </w:hyperlink>
      <w:r w:rsidRPr="00101918">
        <w:t xml:space="preserve"> of the Council of Europe. </w:t>
      </w:r>
      <w:r>
        <w:t xml:space="preserve"> </w:t>
      </w:r>
    </w:p>
  </w:footnote>
  <w:footnote w:id="168">
    <w:p w14:paraId="47707AEC" w14:textId="77777777" w:rsidR="001D33E1" w:rsidRPr="00715D1C" w:rsidRDefault="001D33E1" w:rsidP="001D33E1">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9</w:t>
      </w:r>
      <w:r w:rsidRPr="00715D1C">
        <w:t>.</w:t>
      </w:r>
    </w:p>
  </w:footnote>
  <w:footnote w:id="169">
    <w:p w14:paraId="41288813" w14:textId="77777777" w:rsidR="001D33E1" w:rsidRPr="00715D1C" w:rsidRDefault="001D33E1" w:rsidP="001D33E1">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t xml:space="preserve">49969/14, </w:t>
      </w:r>
      <w:r w:rsidRPr="00E35291">
        <w:rPr>
          <w:i/>
          <w:iCs/>
        </w:rPr>
        <w:t>Pintar and Others v. Slovenia</w:t>
      </w:r>
      <w:r w:rsidRPr="00715D1C">
        <w:t xml:space="preserve">, pending implementation since </w:t>
      </w:r>
      <w:r>
        <w:t>2021</w:t>
      </w:r>
      <w:r w:rsidRPr="00715D1C">
        <w:t xml:space="preserve">. </w:t>
      </w:r>
    </w:p>
  </w:footnote>
  <w:footnote w:id="170">
    <w:p w14:paraId="4AF920A9" w14:textId="77777777" w:rsidR="001D33E1" w:rsidRPr="00087412" w:rsidRDefault="001D33E1" w:rsidP="001D33E1">
      <w:pPr>
        <w:pStyle w:val="FootnoteText"/>
      </w:pPr>
      <w:r>
        <w:rPr>
          <w:rStyle w:val="FootnoteReference"/>
        </w:rPr>
        <w:footnoteRef/>
      </w:r>
      <w:r>
        <w:t xml:space="preserve"> </w:t>
      </w:r>
      <w:r>
        <w:tab/>
        <w:t xml:space="preserve">Council of Europe (2026), </w:t>
      </w:r>
      <w:r w:rsidRPr="00F90AF7">
        <w:t>p. 1</w:t>
      </w:r>
      <w:r>
        <w:t>63</w:t>
      </w:r>
      <w:r w:rsidRPr="00F90AF7">
        <w:t>.</w:t>
      </w:r>
      <w:r>
        <w:t xml:space="preserve">  </w:t>
      </w:r>
    </w:p>
  </w:footnote>
  <w:footnote w:id="171">
    <w:p w14:paraId="5266D27A" w14:textId="77777777" w:rsidR="001D33E1" w:rsidRPr="00715D1C" w:rsidRDefault="001D33E1" w:rsidP="001D33E1">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72">
    <w:p w14:paraId="4DA57F6A" w14:textId="0C5551FF" w:rsidR="001D33E1" w:rsidRPr="00230D53" w:rsidRDefault="001D33E1" w:rsidP="001D33E1">
      <w:pPr>
        <w:pStyle w:val="FootnoteText"/>
      </w:pPr>
      <w:r w:rsidRPr="00230D53">
        <w:rPr>
          <w:rStyle w:val="FootnoteReference"/>
        </w:rPr>
        <w:footnoteRef/>
      </w:r>
      <w:r w:rsidRPr="00230D53">
        <w:t xml:space="preserve"> </w:t>
      </w:r>
      <w:r w:rsidRPr="00230D53">
        <w:tab/>
      </w:r>
      <w:r w:rsidR="00535AA9">
        <w:t xml:space="preserve">Slovenia’s </w:t>
      </w:r>
      <w:r>
        <w:t xml:space="preserve">score is 85/100. </w:t>
      </w:r>
      <w:r w:rsidRPr="00230D53">
        <w:t>Rating</w:t>
      </w:r>
      <w:r>
        <w:t>s</w:t>
      </w:r>
      <w:r w:rsidRPr="00230D53">
        <w:t xml:space="preserve"> by Civicus</w:t>
      </w:r>
      <w:r>
        <w:t xml:space="preserve"> </w:t>
      </w:r>
      <w:r w:rsidRPr="00230D53">
        <w:t>are on a five-category scale defined as: open, narrowed, obstructed, repressed and closed.</w:t>
      </w:r>
    </w:p>
  </w:footnote>
  <w:footnote w:id="173">
    <w:p w14:paraId="6115F154" w14:textId="77777777" w:rsidR="001D33E1" w:rsidRPr="00230D53" w:rsidRDefault="001D33E1" w:rsidP="001D33E1">
      <w:pPr>
        <w:pStyle w:val="FootnoteText"/>
      </w:pPr>
      <w:r w:rsidRPr="00230D53">
        <w:rPr>
          <w:rStyle w:val="FootnoteReference"/>
        </w:rPr>
        <w:footnoteRef/>
      </w:r>
      <w:r w:rsidRPr="00230D53">
        <w:t xml:space="preserve"> </w:t>
      </w:r>
      <w:r w:rsidRPr="00230D53">
        <w:tab/>
        <w:t xml:space="preserve">Country visit Slovenia, CNVOS and Peace Institute. Slovenian Government (2026), written input, pp. 18-19. According to the CSOs, the adoption of the two strategies </w:t>
      </w:r>
      <w:r w:rsidRPr="00230D53">
        <w:rPr>
          <w:lang w:eastAsia="fr-FR"/>
        </w:rPr>
        <w:t>signal</w:t>
      </w:r>
      <w:r>
        <w:rPr>
          <w:lang w:eastAsia="fr-FR"/>
        </w:rPr>
        <w:t>l</w:t>
      </w:r>
      <w:r w:rsidRPr="00230D53">
        <w:rPr>
          <w:lang w:eastAsia="fr-FR"/>
        </w:rPr>
        <w:t xml:space="preserve">ed the recognition of civil society’s democratic role and establishing a long-term framework for cooperation with public authorities and included structured consultation with CSOs. </w:t>
      </w:r>
      <w:r w:rsidRPr="00230D53">
        <w:t>Liberties (2026), p. 33.</w:t>
      </w:r>
    </w:p>
  </w:footnote>
  <w:footnote w:id="174">
    <w:p w14:paraId="21D80BF8" w14:textId="77777777" w:rsidR="001D33E1" w:rsidRPr="00230D53" w:rsidRDefault="001D33E1" w:rsidP="00AD3066">
      <w:pPr>
        <w:pStyle w:val="FootnoteText"/>
      </w:pPr>
      <w:r w:rsidRPr="00230D53">
        <w:rPr>
          <w:rStyle w:val="FootnoteReference"/>
        </w:rPr>
        <w:footnoteRef/>
      </w:r>
      <w:r w:rsidRPr="00230D53">
        <w:t xml:space="preserve"> </w:t>
      </w:r>
      <w:r w:rsidRPr="00230D53">
        <w:tab/>
        <w:t>Liberties (2026), p. 3.</w:t>
      </w:r>
    </w:p>
  </w:footnote>
  <w:footnote w:id="175">
    <w:p w14:paraId="784FE482" w14:textId="77777777" w:rsidR="001D33E1" w:rsidRPr="00230D53" w:rsidRDefault="001D33E1" w:rsidP="001D33E1">
      <w:pPr>
        <w:pStyle w:val="FootnoteText"/>
      </w:pPr>
      <w:r w:rsidRPr="00230D53">
        <w:rPr>
          <w:rStyle w:val="FootnoteReference"/>
        </w:rPr>
        <w:footnoteRef/>
      </w:r>
      <w:r w:rsidRPr="00230D53">
        <w:t xml:space="preserve"> </w:t>
      </w:r>
      <w:r w:rsidRPr="00230D53">
        <w:tab/>
        <w:t>Liberties (2026), p. 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D8AE" w14:textId="77777777" w:rsidR="008303BA" w:rsidRPr="008303BA" w:rsidRDefault="008303BA" w:rsidP="008303B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75355" w14:textId="77777777" w:rsidR="008303BA" w:rsidRPr="008303BA" w:rsidRDefault="008303BA" w:rsidP="008303B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8E53" w14:textId="77777777" w:rsidR="008303BA" w:rsidRPr="008303BA" w:rsidRDefault="008303BA" w:rsidP="008303B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65DEA" w14:textId="6996DCEB" w:rsidR="001D33E1" w:rsidRDefault="001D33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7C2E0" w14:textId="77777777" w:rsidR="001D33E1" w:rsidRPr="00AD47F0" w:rsidRDefault="001D33E1" w:rsidP="008660D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33AB1" w14:textId="5A40234B" w:rsidR="001D33E1" w:rsidRDefault="001D3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0D50"/>
    <w:multiLevelType w:val="hybridMultilevel"/>
    <w:tmpl w:val="8D9E7EA2"/>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D1B07A0"/>
    <w:multiLevelType w:val="multilevel"/>
    <w:tmpl w:val="780A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5080944"/>
    <w:multiLevelType w:val="hybridMultilevel"/>
    <w:tmpl w:val="3ADA1CD2"/>
    <w:lvl w:ilvl="0" w:tplc="229E507C">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98E0F07"/>
    <w:multiLevelType w:val="multilevel"/>
    <w:tmpl w:val="49F2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3757607"/>
    <w:multiLevelType w:val="multilevel"/>
    <w:tmpl w:val="8CD6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7"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91400B1"/>
    <w:multiLevelType w:val="multilevel"/>
    <w:tmpl w:val="47FC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94E0BE8"/>
    <w:multiLevelType w:val="multilevel"/>
    <w:tmpl w:val="F94A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CB3502"/>
    <w:multiLevelType w:val="multilevel"/>
    <w:tmpl w:val="B290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16D7CC2"/>
    <w:multiLevelType w:val="multilevel"/>
    <w:tmpl w:val="CE1E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E34E26"/>
    <w:multiLevelType w:val="multilevel"/>
    <w:tmpl w:val="B236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1" w15:restartNumberingAfterBreak="0">
    <w:nsid w:val="64766129"/>
    <w:multiLevelType w:val="multilevel"/>
    <w:tmpl w:val="5A52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093060"/>
    <w:multiLevelType w:val="hybridMultilevel"/>
    <w:tmpl w:val="2EE8D7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4943094"/>
    <w:multiLevelType w:val="multilevel"/>
    <w:tmpl w:val="947C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8" w15:restartNumberingAfterBreak="0">
    <w:nsid w:val="7CA76515"/>
    <w:multiLevelType w:val="multilevel"/>
    <w:tmpl w:val="347E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7052FB"/>
    <w:multiLevelType w:val="multilevel"/>
    <w:tmpl w:val="446C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7"/>
  </w:num>
  <w:num w:numId="2">
    <w:abstractNumId w:val="15"/>
  </w:num>
  <w:num w:numId="3">
    <w:abstractNumId w:val="14"/>
  </w:num>
  <w:num w:numId="4">
    <w:abstractNumId w:val="36"/>
  </w:num>
  <w:num w:numId="5">
    <w:abstractNumId w:val="25"/>
  </w:num>
  <w:num w:numId="6">
    <w:abstractNumId w:val="21"/>
  </w:num>
  <w:num w:numId="7">
    <w:abstractNumId w:val="13"/>
  </w:num>
  <w:num w:numId="8">
    <w:abstractNumId w:val="6"/>
  </w:num>
  <w:num w:numId="9">
    <w:abstractNumId w:val="5"/>
  </w:num>
  <w:num w:numId="10">
    <w:abstractNumId w:val="4"/>
  </w:num>
  <w:num w:numId="11">
    <w:abstractNumId w:val="22"/>
  </w:num>
  <w:num w:numId="12">
    <w:abstractNumId w:val="9"/>
  </w:num>
  <w:num w:numId="13">
    <w:abstractNumId w:val="3"/>
  </w:num>
  <w:num w:numId="14">
    <w:abstractNumId w:val="33"/>
  </w:num>
  <w:num w:numId="15">
    <w:abstractNumId w:val="27"/>
  </w:num>
  <w:num w:numId="16">
    <w:abstractNumId w:val="18"/>
  </w:num>
  <w:num w:numId="17">
    <w:abstractNumId w:val="11"/>
  </w:num>
  <w:num w:numId="18">
    <w:abstractNumId w:val="17"/>
  </w:num>
  <w:num w:numId="19">
    <w:abstractNumId w:val="1"/>
  </w:num>
  <w:num w:numId="20">
    <w:abstractNumId w:val="16"/>
  </w:num>
  <w:num w:numId="21">
    <w:abstractNumId w:val="7"/>
  </w:num>
  <w:num w:numId="22">
    <w:abstractNumId w:val="19"/>
  </w:num>
  <w:num w:numId="23">
    <w:abstractNumId w:val="34"/>
  </w:num>
  <w:num w:numId="24">
    <w:abstractNumId w:val="26"/>
  </w:num>
  <w:num w:numId="25">
    <w:abstractNumId w:val="30"/>
  </w:num>
  <w:num w:numId="26">
    <w:abstractNumId w:val="32"/>
  </w:num>
  <w:num w:numId="27">
    <w:abstractNumId w:val="20"/>
  </w:num>
  <w:num w:numId="28">
    <w:abstractNumId w:val="23"/>
  </w:num>
  <w:num w:numId="29">
    <w:abstractNumId w:val="31"/>
  </w:num>
  <w:num w:numId="30">
    <w:abstractNumId w:val="35"/>
  </w:num>
  <w:num w:numId="31">
    <w:abstractNumId w:val="24"/>
  </w:num>
  <w:num w:numId="32">
    <w:abstractNumId w:val="38"/>
  </w:num>
  <w:num w:numId="33">
    <w:abstractNumId w:val="12"/>
  </w:num>
  <w:num w:numId="34">
    <w:abstractNumId w:val="28"/>
  </w:num>
  <w:num w:numId="35">
    <w:abstractNumId w:val="29"/>
  </w:num>
  <w:num w:numId="36">
    <w:abstractNumId w:val="39"/>
  </w:num>
  <w:num w:numId="37">
    <w:abstractNumId w:val="10"/>
  </w:num>
  <w:num w:numId="38">
    <w:abstractNumId w:val="2"/>
  </w:num>
  <w:num w:numId="39">
    <w:abstractNumId w:val="0"/>
  </w:num>
  <w:num w:numId="40">
    <w:abstractNumId w:val="8"/>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264DE811-3F03-4466-91C1-9235C67A2E23"/>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b_Country Chapter on the rule of law situation in Sloven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3752"/>
    <w:rsid w:val="0000377E"/>
    <w:rsid w:val="00004C6B"/>
    <w:rsid w:val="00005852"/>
    <w:rsid w:val="0000644F"/>
    <w:rsid w:val="000104E2"/>
    <w:rsid w:val="00011207"/>
    <w:rsid w:val="0001388E"/>
    <w:rsid w:val="000165F8"/>
    <w:rsid w:val="00017618"/>
    <w:rsid w:val="000219A6"/>
    <w:rsid w:val="00022117"/>
    <w:rsid w:val="00022C78"/>
    <w:rsid w:val="00022E91"/>
    <w:rsid w:val="00025B57"/>
    <w:rsid w:val="00027184"/>
    <w:rsid w:val="0003029B"/>
    <w:rsid w:val="00031BCE"/>
    <w:rsid w:val="0003238B"/>
    <w:rsid w:val="0003372B"/>
    <w:rsid w:val="00033B84"/>
    <w:rsid w:val="00034CBE"/>
    <w:rsid w:val="00040657"/>
    <w:rsid w:val="000430F3"/>
    <w:rsid w:val="00045898"/>
    <w:rsid w:val="00045904"/>
    <w:rsid w:val="00045AF3"/>
    <w:rsid w:val="00047E61"/>
    <w:rsid w:val="000501E3"/>
    <w:rsid w:val="000534FA"/>
    <w:rsid w:val="00053759"/>
    <w:rsid w:val="0005493C"/>
    <w:rsid w:val="00056688"/>
    <w:rsid w:val="00056B69"/>
    <w:rsid w:val="00061335"/>
    <w:rsid w:val="000640C3"/>
    <w:rsid w:val="00067723"/>
    <w:rsid w:val="000727C7"/>
    <w:rsid w:val="00074375"/>
    <w:rsid w:val="00081709"/>
    <w:rsid w:val="00081AE1"/>
    <w:rsid w:val="0008210C"/>
    <w:rsid w:val="000830E3"/>
    <w:rsid w:val="00084EBD"/>
    <w:rsid w:val="000850B9"/>
    <w:rsid w:val="00085966"/>
    <w:rsid w:val="000875DA"/>
    <w:rsid w:val="000951A3"/>
    <w:rsid w:val="0009762F"/>
    <w:rsid w:val="0009782A"/>
    <w:rsid w:val="000A0F2F"/>
    <w:rsid w:val="000A28A1"/>
    <w:rsid w:val="000A4016"/>
    <w:rsid w:val="000A6560"/>
    <w:rsid w:val="000A689D"/>
    <w:rsid w:val="000B0EC5"/>
    <w:rsid w:val="000B4B6E"/>
    <w:rsid w:val="000B544F"/>
    <w:rsid w:val="000B6D8F"/>
    <w:rsid w:val="000B715C"/>
    <w:rsid w:val="000B73C0"/>
    <w:rsid w:val="000C038E"/>
    <w:rsid w:val="000C08D9"/>
    <w:rsid w:val="000C2ECE"/>
    <w:rsid w:val="000C47F0"/>
    <w:rsid w:val="000C52E2"/>
    <w:rsid w:val="000C5963"/>
    <w:rsid w:val="000C5C1E"/>
    <w:rsid w:val="000C6212"/>
    <w:rsid w:val="000C624C"/>
    <w:rsid w:val="000D00B5"/>
    <w:rsid w:val="000D01CC"/>
    <w:rsid w:val="000D31FA"/>
    <w:rsid w:val="000D3B70"/>
    <w:rsid w:val="000D3F33"/>
    <w:rsid w:val="000D6D11"/>
    <w:rsid w:val="000D7E50"/>
    <w:rsid w:val="000E0160"/>
    <w:rsid w:val="000E1390"/>
    <w:rsid w:val="000E1639"/>
    <w:rsid w:val="000E1C3E"/>
    <w:rsid w:val="000E45A4"/>
    <w:rsid w:val="000E4AA3"/>
    <w:rsid w:val="000F096A"/>
    <w:rsid w:val="000F102C"/>
    <w:rsid w:val="000F11E1"/>
    <w:rsid w:val="000F1215"/>
    <w:rsid w:val="000F228B"/>
    <w:rsid w:val="000F2A18"/>
    <w:rsid w:val="000F5160"/>
    <w:rsid w:val="00101251"/>
    <w:rsid w:val="00102058"/>
    <w:rsid w:val="00103418"/>
    <w:rsid w:val="001065F1"/>
    <w:rsid w:val="001073A9"/>
    <w:rsid w:val="00110364"/>
    <w:rsid w:val="00112512"/>
    <w:rsid w:val="00114B85"/>
    <w:rsid w:val="00115114"/>
    <w:rsid w:val="00115894"/>
    <w:rsid w:val="00120B4D"/>
    <w:rsid w:val="0012145F"/>
    <w:rsid w:val="00122EE1"/>
    <w:rsid w:val="00124256"/>
    <w:rsid w:val="0012606C"/>
    <w:rsid w:val="00126544"/>
    <w:rsid w:val="001270DD"/>
    <w:rsid w:val="00127B69"/>
    <w:rsid w:val="00130E4E"/>
    <w:rsid w:val="00135962"/>
    <w:rsid w:val="0013709E"/>
    <w:rsid w:val="001418DB"/>
    <w:rsid w:val="00141A2E"/>
    <w:rsid w:val="00143A78"/>
    <w:rsid w:val="00143ACC"/>
    <w:rsid w:val="001455D8"/>
    <w:rsid w:val="00152DD7"/>
    <w:rsid w:val="00152E38"/>
    <w:rsid w:val="00154A40"/>
    <w:rsid w:val="00154EB8"/>
    <w:rsid w:val="00165E9A"/>
    <w:rsid w:val="00166C15"/>
    <w:rsid w:val="00167CFF"/>
    <w:rsid w:val="00170C28"/>
    <w:rsid w:val="001749B5"/>
    <w:rsid w:val="00180C84"/>
    <w:rsid w:val="00181057"/>
    <w:rsid w:val="00182B52"/>
    <w:rsid w:val="001833DB"/>
    <w:rsid w:val="00183443"/>
    <w:rsid w:val="001913DE"/>
    <w:rsid w:val="00196245"/>
    <w:rsid w:val="00196425"/>
    <w:rsid w:val="00197F4F"/>
    <w:rsid w:val="001A2885"/>
    <w:rsid w:val="001A3BBA"/>
    <w:rsid w:val="001A404C"/>
    <w:rsid w:val="001A40DD"/>
    <w:rsid w:val="001A5D54"/>
    <w:rsid w:val="001B0DB4"/>
    <w:rsid w:val="001B1D16"/>
    <w:rsid w:val="001B2E48"/>
    <w:rsid w:val="001B2F7F"/>
    <w:rsid w:val="001B44BA"/>
    <w:rsid w:val="001B582A"/>
    <w:rsid w:val="001C04FF"/>
    <w:rsid w:val="001C1F7C"/>
    <w:rsid w:val="001C33CD"/>
    <w:rsid w:val="001C427D"/>
    <w:rsid w:val="001C4B81"/>
    <w:rsid w:val="001C55DC"/>
    <w:rsid w:val="001D2972"/>
    <w:rsid w:val="001D33E1"/>
    <w:rsid w:val="001D565A"/>
    <w:rsid w:val="001F2100"/>
    <w:rsid w:val="001F2D79"/>
    <w:rsid w:val="001F3195"/>
    <w:rsid w:val="001F6219"/>
    <w:rsid w:val="00200C0B"/>
    <w:rsid w:val="0020105E"/>
    <w:rsid w:val="00206E4C"/>
    <w:rsid w:val="00207ADE"/>
    <w:rsid w:val="0021007B"/>
    <w:rsid w:val="00210281"/>
    <w:rsid w:val="00210DE3"/>
    <w:rsid w:val="00210F8F"/>
    <w:rsid w:val="00213D5B"/>
    <w:rsid w:val="00214B7D"/>
    <w:rsid w:val="002165D0"/>
    <w:rsid w:val="00220263"/>
    <w:rsid w:val="0022236A"/>
    <w:rsid w:val="00224E2C"/>
    <w:rsid w:val="00227655"/>
    <w:rsid w:val="00230B73"/>
    <w:rsid w:val="00230C35"/>
    <w:rsid w:val="00231427"/>
    <w:rsid w:val="0023342C"/>
    <w:rsid w:val="00234545"/>
    <w:rsid w:val="00237530"/>
    <w:rsid w:val="0024044D"/>
    <w:rsid w:val="00240A4D"/>
    <w:rsid w:val="0024147E"/>
    <w:rsid w:val="00242EA0"/>
    <w:rsid w:val="00245F9F"/>
    <w:rsid w:val="0024751F"/>
    <w:rsid w:val="00247898"/>
    <w:rsid w:val="00250AEC"/>
    <w:rsid w:val="00255F73"/>
    <w:rsid w:val="002578CF"/>
    <w:rsid w:val="00257E3D"/>
    <w:rsid w:val="002606B9"/>
    <w:rsid w:val="0026085E"/>
    <w:rsid w:val="002632F4"/>
    <w:rsid w:val="0026676D"/>
    <w:rsid w:val="00272F09"/>
    <w:rsid w:val="00281446"/>
    <w:rsid w:val="002859F3"/>
    <w:rsid w:val="00285E8B"/>
    <w:rsid w:val="00291986"/>
    <w:rsid w:val="00292399"/>
    <w:rsid w:val="00295318"/>
    <w:rsid w:val="0029576E"/>
    <w:rsid w:val="00295BBA"/>
    <w:rsid w:val="002A05F1"/>
    <w:rsid w:val="002A2522"/>
    <w:rsid w:val="002A4132"/>
    <w:rsid w:val="002A603C"/>
    <w:rsid w:val="002B1EB1"/>
    <w:rsid w:val="002B2CDF"/>
    <w:rsid w:val="002B4364"/>
    <w:rsid w:val="002B4DB5"/>
    <w:rsid w:val="002B4E67"/>
    <w:rsid w:val="002B5F41"/>
    <w:rsid w:val="002C00BF"/>
    <w:rsid w:val="002C3471"/>
    <w:rsid w:val="002D2390"/>
    <w:rsid w:val="002D4CA1"/>
    <w:rsid w:val="002D7C6E"/>
    <w:rsid w:val="002E0BE1"/>
    <w:rsid w:val="002E463B"/>
    <w:rsid w:val="002E7062"/>
    <w:rsid w:val="002F2A8C"/>
    <w:rsid w:val="002F3A99"/>
    <w:rsid w:val="002F47D0"/>
    <w:rsid w:val="002F4AB4"/>
    <w:rsid w:val="00300EDC"/>
    <w:rsid w:val="003016D6"/>
    <w:rsid w:val="003023BB"/>
    <w:rsid w:val="00303B81"/>
    <w:rsid w:val="0030784B"/>
    <w:rsid w:val="00307E49"/>
    <w:rsid w:val="00316982"/>
    <w:rsid w:val="00316ABB"/>
    <w:rsid w:val="003173E3"/>
    <w:rsid w:val="003225E4"/>
    <w:rsid w:val="00322D67"/>
    <w:rsid w:val="00324E55"/>
    <w:rsid w:val="00326FB2"/>
    <w:rsid w:val="00327691"/>
    <w:rsid w:val="00332248"/>
    <w:rsid w:val="0033263E"/>
    <w:rsid w:val="00332C43"/>
    <w:rsid w:val="00332FFA"/>
    <w:rsid w:val="00333936"/>
    <w:rsid w:val="00333B2D"/>
    <w:rsid w:val="00334CBA"/>
    <w:rsid w:val="00335D0D"/>
    <w:rsid w:val="00336B61"/>
    <w:rsid w:val="00337D63"/>
    <w:rsid w:val="00340195"/>
    <w:rsid w:val="00342F0E"/>
    <w:rsid w:val="00345995"/>
    <w:rsid w:val="00345A4D"/>
    <w:rsid w:val="003461A9"/>
    <w:rsid w:val="00346AF3"/>
    <w:rsid w:val="0035411C"/>
    <w:rsid w:val="00356EE0"/>
    <w:rsid w:val="00357BD8"/>
    <w:rsid w:val="003607F2"/>
    <w:rsid w:val="00365253"/>
    <w:rsid w:val="00366226"/>
    <w:rsid w:val="00377948"/>
    <w:rsid w:val="00381B2F"/>
    <w:rsid w:val="0038204E"/>
    <w:rsid w:val="00382801"/>
    <w:rsid w:val="003829FC"/>
    <w:rsid w:val="00384835"/>
    <w:rsid w:val="00385740"/>
    <w:rsid w:val="003877AE"/>
    <w:rsid w:val="003910F4"/>
    <w:rsid w:val="003918B1"/>
    <w:rsid w:val="0039299B"/>
    <w:rsid w:val="00396019"/>
    <w:rsid w:val="003A0E8A"/>
    <w:rsid w:val="003A30B3"/>
    <w:rsid w:val="003A4EDF"/>
    <w:rsid w:val="003A5191"/>
    <w:rsid w:val="003B0E30"/>
    <w:rsid w:val="003B1F55"/>
    <w:rsid w:val="003B20CA"/>
    <w:rsid w:val="003B3A08"/>
    <w:rsid w:val="003B503C"/>
    <w:rsid w:val="003B5E18"/>
    <w:rsid w:val="003C2499"/>
    <w:rsid w:val="003C26BF"/>
    <w:rsid w:val="003C3260"/>
    <w:rsid w:val="003C33D9"/>
    <w:rsid w:val="003C4650"/>
    <w:rsid w:val="003C5390"/>
    <w:rsid w:val="003C5705"/>
    <w:rsid w:val="003C5A76"/>
    <w:rsid w:val="003C6875"/>
    <w:rsid w:val="003C68CE"/>
    <w:rsid w:val="003C6BFB"/>
    <w:rsid w:val="003D0854"/>
    <w:rsid w:val="003D1413"/>
    <w:rsid w:val="003D3A19"/>
    <w:rsid w:val="003D45E4"/>
    <w:rsid w:val="003D6CB4"/>
    <w:rsid w:val="003E1852"/>
    <w:rsid w:val="003E1C2C"/>
    <w:rsid w:val="003E2A04"/>
    <w:rsid w:val="003F0EE8"/>
    <w:rsid w:val="003F6D6B"/>
    <w:rsid w:val="003F6F82"/>
    <w:rsid w:val="003F75D9"/>
    <w:rsid w:val="00402796"/>
    <w:rsid w:val="004029E8"/>
    <w:rsid w:val="0040511B"/>
    <w:rsid w:val="00406FCD"/>
    <w:rsid w:val="00407064"/>
    <w:rsid w:val="0041056B"/>
    <w:rsid w:val="00411BDE"/>
    <w:rsid w:val="0041609A"/>
    <w:rsid w:val="00417916"/>
    <w:rsid w:val="004203F8"/>
    <w:rsid w:val="004204D4"/>
    <w:rsid w:val="0042239A"/>
    <w:rsid w:val="00423788"/>
    <w:rsid w:val="0042493C"/>
    <w:rsid w:val="00425658"/>
    <w:rsid w:val="00427CCE"/>
    <w:rsid w:val="00431183"/>
    <w:rsid w:val="004313C0"/>
    <w:rsid w:val="004320D1"/>
    <w:rsid w:val="00432FC4"/>
    <w:rsid w:val="004351CD"/>
    <w:rsid w:val="00435B63"/>
    <w:rsid w:val="0043617D"/>
    <w:rsid w:val="00436A7D"/>
    <w:rsid w:val="00436DD4"/>
    <w:rsid w:val="0043740E"/>
    <w:rsid w:val="00441F66"/>
    <w:rsid w:val="00442A8E"/>
    <w:rsid w:val="00442CEF"/>
    <w:rsid w:val="004432F3"/>
    <w:rsid w:val="00450B1E"/>
    <w:rsid w:val="00453593"/>
    <w:rsid w:val="00460A99"/>
    <w:rsid w:val="00460E89"/>
    <w:rsid w:val="0046165A"/>
    <w:rsid w:val="00462D04"/>
    <w:rsid w:val="00463A5B"/>
    <w:rsid w:val="00464282"/>
    <w:rsid w:val="00464B43"/>
    <w:rsid w:val="00465E13"/>
    <w:rsid w:val="004701E9"/>
    <w:rsid w:val="00470207"/>
    <w:rsid w:val="004706D3"/>
    <w:rsid w:val="00470E33"/>
    <w:rsid w:val="0047443C"/>
    <w:rsid w:val="004752E1"/>
    <w:rsid w:val="004766E7"/>
    <w:rsid w:val="00477BD5"/>
    <w:rsid w:val="00480DB2"/>
    <w:rsid w:val="004841C3"/>
    <w:rsid w:val="0048557B"/>
    <w:rsid w:val="00490DF2"/>
    <w:rsid w:val="004919B7"/>
    <w:rsid w:val="00493602"/>
    <w:rsid w:val="00495113"/>
    <w:rsid w:val="00497276"/>
    <w:rsid w:val="004A0642"/>
    <w:rsid w:val="004A35EB"/>
    <w:rsid w:val="004A556B"/>
    <w:rsid w:val="004A6615"/>
    <w:rsid w:val="004A6D7A"/>
    <w:rsid w:val="004B0111"/>
    <w:rsid w:val="004B4C59"/>
    <w:rsid w:val="004B53FB"/>
    <w:rsid w:val="004C0A6B"/>
    <w:rsid w:val="004D0F83"/>
    <w:rsid w:val="004D3196"/>
    <w:rsid w:val="004E0655"/>
    <w:rsid w:val="004E2D09"/>
    <w:rsid w:val="004E3577"/>
    <w:rsid w:val="004E5CF5"/>
    <w:rsid w:val="004E5FDC"/>
    <w:rsid w:val="004E6570"/>
    <w:rsid w:val="004E6CAE"/>
    <w:rsid w:val="004F1662"/>
    <w:rsid w:val="004F2116"/>
    <w:rsid w:val="004F261F"/>
    <w:rsid w:val="004F2CB4"/>
    <w:rsid w:val="004F3AFF"/>
    <w:rsid w:val="004F3EFC"/>
    <w:rsid w:val="004F418B"/>
    <w:rsid w:val="004F4AEC"/>
    <w:rsid w:val="004F51D0"/>
    <w:rsid w:val="004F633B"/>
    <w:rsid w:val="004F6B09"/>
    <w:rsid w:val="00504968"/>
    <w:rsid w:val="005055A7"/>
    <w:rsid w:val="00505DDF"/>
    <w:rsid w:val="00506D3A"/>
    <w:rsid w:val="00506F24"/>
    <w:rsid w:val="0050772E"/>
    <w:rsid w:val="00510245"/>
    <w:rsid w:val="00510CA9"/>
    <w:rsid w:val="00510E9B"/>
    <w:rsid w:val="00513CBF"/>
    <w:rsid w:val="00513EC2"/>
    <w:rsid w:val="00515AD5"/>
    <w:rsid w:val="00517C75"/>
    <w:rsid w:val="00517E7C"/>
    <w:rsid w:val="00521AC8"/>
    <w:rsid w:val="00523B1B"/>
    <w:rsid w:val="00525C88"/>
    <w:rsid w:val="00531C2D"/>
    <w:rsid w:val="00535328"/>
    <w:rsid w:val="0053543C"/>
    <w:rsid w:val="00535AA9"/>
    <w:rsid w:val="00535D66"/>
    <w:rsid w:val="00542598"/>
    <w:rsid w:val="005429A3"/>
    <w:rsid w:val="00542CE4"/>
    <w:rsid w:val="0054497F"/>
    <w:rsid w:val="00544E35"/>
    <w:rsid w:val="00545ABE"/>
    <w:rsid w:val="0055006F"/>
    <w:rsid w:val="00552424"/>
    <w:rsid w:val="00552C6A"/>
    <w:rsid w:val="00553BA7"/>
    <w:rsid w:val="0055767A"/>
    <w:rsid w:val="00557A12"/>
    <w:rsid w:val="00561D3A"/>
    <w:rsid w:val="00562030"/>
    <w:rsid w:val="005624E7"/>
    <w:rsid w:val="00562E10"/>
    <w:rsid w:val="0056306C"/>
    <w:rsid w:val="005638DD"/>
    <w:rsid w:val="005656EF"/>
    <w:rsid w:val="005677D4"/>
    <w:rsid w:val="005714B1"/>
    <w:rsid w:val="00571853"/>
    <w:rsid w:val="005756BB"/>
    <w:rsid w:val="0057597C"/>
    <w:rsid w:val="00575DC4"/>
    <w:rsid w:val="00582D5A"/>
    <w:rsid w:val="005841EB"/>
    <w:rsid w:val="00584D29"/>
    <w:rsid w:val="0059035D"/>
    <w:rsid w:val="005910AD"/>
    <w:rsid w:val="005934D3"/>
    <w:rsid w:val="00596B73"/>
    <w:rsid w:val="005975BC"/>
    <w:rsid w:val="00597E24"/>
    <w:rsid w:val="005A04F4"/>
    <w:rsid w:val="005A259C"/>
    <w:rsid w:val="005A39A2"/>
    <w:rsid w:val="005A507B"/>
    <w:rsid w:val="005A56F9"/>
    <w:rsid w:val="005A6AF4"/>
    <w:rsid w:val="005A6AFF"/>
    <w:rsid w:val="005B2D9A"/>
    <w:rsid w:val="005B3C66"/>
    <w:rsid w:val="005C3E99"/>
    <w:rsid w:val="005C7921"/>
    <w:rsid w:val="005C7A07"/>
    <w:rsid w:val="005D2C27"/>
    <w:rsid w:val="005D49BF"/>
    <w:rsid w:val="005D6CF1"/>
    <w:rsid w:val="005D7116"/>
    <w:rsid w:val="005D79AF"/>
    <w:rsid w:val="005E225F"/>
    <w:rsid w:val="005E3C4A"/>
    <w:rsid w:val="005E3E14"/>
    <w:rsid w:val="005E7AC0"/>
    <w:rsid w:val="005F0AB4"/>
    <w:rsid w:val="005F22BA"/>
    <w:rsid w:val="006010A9"/>
    <w:rsid w:val="00604330"/>
    <w:rsid w:val="00604B9A"/>
    <w:rsid w:val="00610187"/>
    <w:rsid w:val="0061236A"/>
    <w:rsid w:val="006154B2"/>
    <w:rsid w:val="00620011"/>
    <w:rsid w:val="0062072D"/>
    <w:rsid w:val="00620C1A"/>
    <w:rsid w:val="006231F9"/>
    <w:rsid w:val="006242EA"/>
    <w:rsid w:val="00624AB8"/>
    <w:rsid w:val="00626616"/>
    <w:rsid w:val="00627526"/>
    <w:rsid w:val="006300E8"/>
    <w:rsid w:val="00630BE6"/>
    <w:rsid w:val="006334F9"/>
    <w:rsid w:val="0063692F"/>
    <w:rsid w:val="0063705A"/>
    <w:rsid w:val="006414F2"/>
    <w:rsid w:val="006433C7"/>
    <w:rsid w:val="0064389C"/>
    <w:rsid w:val="0064469D"/>
    <w:rsid w:val="00645911"/>
    <w:rsid w:val="00651905"/>
    <w:rsid w:val="00652A36"/>
    <w:rsid w:val="00652CE1"/>
    <w:rsid w:val="00653C13"/>
    <w:rsid w:val="00654241"/>
    <w:rsid w:val="006545DE"/>
    <w:rsid w:val="0065498B"/>
    <w:rsid w:val="006558EC"/>
    <w:rsid w:val="00665CEB"/>
    <w:rsid w:val="00667C50"/>
    <w:rsid w:val="0067146F"/>
    <w:rsid w:val="00671F6A"/>
    <w:rsid w:val="006720DE"/>
    <w:rsid w:val="00675B96"/>
    <w:rsid w:val="00677EEC"/>
    <w:rsid w:val="00680173"/>
    <w:rsid w:val="00681837"/>
    <w:rsid w:val="00682803"/>
    <w:rsid w:val="00687451"/>
    <w:rsid w:val="00690051"/>
    <w:rsid w:val="006945FF"/>
    <w:rsid w:val="006A0D48"/>
    <w:rsid w:val="006A297B"/>
    <w:rsid w:val="006A3E6E"/>
    <w:rsid w:val="006A7E87"/>
    <w:rsid w:val="006B22AC"/>
    <w:rsid w:val="006B2655"/>
    <w:rsid w:val="006C082E"/>
    <w:rsid w:val="006C4A63"/>
    <w:rsid w:val="006C4C31"/>
    <w:rsid w:val="006C4ED6"/>
    <w:rsid w:val="006C536E"/>
    <w:rsid w:val="006C7956"/>
    <w:rsid w:val="006C7A48"/>
    <w:rsid w:val="006D00D7"/>
    <w:rsid w:val="006D194F"/>
    <w:rsid w:val="006D329E"/>
    <w:rsid w:val="006D4C88"/>
    <w:rsid w:val="006E3272"/>
    <w:rsid w:val="006E77CC"/>
    <w:rsid w:val="006F474D"/>
    <w:rsid w:val="006F4CB7"/>
    <w:rsid w:val="006F7FFA"/>
    <w:rsid w:val="00700A0E"/>
    <w:rsid w:val="00700DB5"/>
    <w:rsid w:val="0070174F"/>
    <w:rsid w:val="00702355"/>
    <w:rsid w:val="00703CEE"/>
    <w:rsid w:val="00706522"/>
    <w:rsid w:val="0070692A"/>
    <w:rsid w:val="00715E27"/>
    <w:rsid w:val="00716054"/>
    <w:rsid w:val="007169A9"/>
    <w:rsid w:val="00717C91"/>
    <w:rsid w:val="00717DB0"/>
    <w:rsid w:val="007201CF"/>
    <w:rsid w:val="00720E5F"/>
    <w:rsid w:val="007217CD"/>
    <w:rsid w:val="0072295D"/>
    <w:rsid w:val="007231D4"/>
    <w:rsid w:val="007239B7"/>
    <w:rsid w:val="00732F8B"/>
    <w:rsid w:val="007377FC"/>
    <w:rsid w:val="00737A40"/>
    <w:rsid w:val="00740773"/>
    <w:rsid w:val="007419C2"/>
    <w:rsid w:val="00743BE7"/>
    <w:rsid w:val="00745692"/>
    <w:rsid w:val="00747F7A"/>
    <w:rsid w:val="0075011C"/>
    <w:rsid w:val="00750FB7"/>
    <w:rsid w:val="00753F80"/>
    <w:rsid w:val="0075549B"/>
    <w:rsid w:val="00760DCA"/>
    <w:rsid w:val="007634B8"/>
    <w:rsid w:val="00764FD4"/>
    <w:rsid w:val="00767F26"/>
    <w:rsid w:val="00770F2B"/>
    <w:rsid w:val="00772D95"/>
    <w:rsid w:val="007747D7"/>
    <w:rsid w:val="0077491D"/>
    <w:rsid w:val="00775188"/>
    <w:rsid w:val="00783E31"/>
    <w:rsid w:val="007872E4"/>
    <w:rsid w:val="007915A0"/>
    <w:rsid w:val="00791C10"/>
    <w:rsid w:val="00792541"/>
    <w:rsid w:val="00792711"/>
    <w:rsid w:val="007A44B7"/>
    <w:rsid w:val="007A5833"/>
    <w:rsid w:val="007A682F"/>
    <w:rsid w:val="007A766A"/>
    <w:rsid w:val="007B1DB7"/>
    <w:rsid w:val="007B2FE1"/>
    <w:rsid w:val="007B407D"/>
    <w:rsid w:val="007B634E"/>
    <w:rsid w:val="007B70C8"/>
    <w:rsid w:val="007C5F09"/>
    <w:rsid w:val="007C74B6"/>
    <w:rsid w:val="007D136F"/>
    <w:rsid w:val="007D3E09"/>
    <w:rsid w:val="007D4B04"/>
    <w:rsid w:val="007D55D3"/>
    <w:rsid w:val="007D66EC"/>
    <w:rsid w:val="007E1B6D"/>
    <w:rsid w:val="007E1BDE"/>
    <w:rsid w:val="007E21AF"/>
    <w:rsid w:val="007E2C73"/>
    <w:rsid w:val="007E33A8"/>
    <w:rsid w:val="007E34EE"/>
    <w:rsid w:val="007E4658"/>
    <w:rsid w:val="007E542E"/>
    <w:rsid w:val="007E5FB2"/>
    <w:rsid w:val="007F094A"/>
    <w:rsid w:val="007F1561"/>
    <w:rsid w:val="007F2E2C"/>
    <w:rsid w:val="007F36B1"/>
    <w:rsid w:val="007F4122"/>
    <w:rsid w:val="007F708E"/>
    <w:rsid w:val="0080005C"/>
    <w:rsid w:val="008015CB"/>
    <w:rsid w:val="00802A12"/>
    <w:rsid w:val="00803062"/>
    <w:rsid w:val="00803A26"/>
    <w:rsid w:val="0080478C"/>
    <w:rsid w:val="00806367"/>
    <w:rsid w:val="00806D8E"/>
    <w:rsid w:val="0081060F"/>
    <w:rsid w:val="00811550"/>
    <w:rsid w:val="008117E1"/>
    <w:rsid w:val="00816A96"/>
    <w:rsid w:val="008246ED"/>
    <w:rsid w:val="00825ED7"/>
    <w:rsid w:val="008303BA"/>
    <w:rsid w:val="0083113C"/>
    <w:rsid w:val="00834319"/>
    <w:rsid w:val="008346E7"/>
    <w:rsid w:val="00836689"/>
    <w:rsid w:val="00836C21"/>
    <w:rsid w:val="008379B2"/>
    <w:rsid w:val="00840063"/>
    <w:rsid w:val="008407BF"/>
    <w:rsid w:val="00842D8D"/>
    <w:rsid w:val="0084519E"/>
    <w:rsid w:val="00850ED7"/>
    <w:rsid w:val="00851603"/>
    <w:rsid w:val="008547EC"/>
    <w:rsid w:val="008567E7"/>
    <w:rsid w:val="00860D91"/>
    <w:rsid w:val="008613AB"/>
    <w:rsid w:val="0086245E"/>
    <w:rsid w:val="008635AD"/>
    <w:rsid w:val="00864832"/>
    <w:rsid w:val="0086527A"/>
    <w:rsid w:val="008660D1"/>
    <w:rsid w:val="008678A4"/>
    <w:rsid w:val="00867D16"/>
    <w:rsid w:val="00870727"/>
    <w:rsid w:val="00872812"/>
    <w:rsid w:val="00875715"/>
    <w:rsid w:val="00875FF6"/>
    <w:rsid w:val="008773BB"/>
    <w:rsid w:val="0088153B"/>
    <w:rsid w:val="00881DF6"/>
    <w:rsid w:val="00881FEC"/>
    <w:rsid w:val="00882A0A"/>
    <w:rsid w:val="00882A39"/>
    <w:rsid w:val="00883A61"/>
    <w:rsid w:val="00887279"/>
    <w:rsid w:val="008874F4"/>
    <w:rsid w:val="00894753"/>
    <w:rsid w:val="008955D2"/>
    <w:rsid w:val="00896B99"/>
    <w:rsid w:val="00897AE2"/>
    <w:rsid w:val="008A010A"/>
    <w:rsid w:val="008A1E31"/>
    <w:rsid w:val="008A3587"/>
    <w:rsid w:val="008A4778"/>
    <w:rsid w:val="008A55DC"/>
    <w:rsid w:val="008B1382"/>
    <w:rsid w:val="008B138A"/>
    <w:rsid w:val="008B3F7D"/>
    <w:rsid w:val="008B48D2"/>
    <w:rsid w:val="008B5EAB"/>
    <w:rsid w:val="008C27C9"/>
    <w:rsid w:val="008C464A"/>
    <w:rsid w:val="008C6310"/>
    <w:rsid w:val="008C7107"/>
    <w:rsid w:val="008C74C3"/>
    <w:rsid w:val="008D13E3"/>
    <w:rsid w:val="008D337B"/>
    <w:rsid w:val="008D5CB1"/>
    <w:rsid w:val="008E00C9"/>
    <w:rsid w:val="008E02C3"/>
    <w:rsid w:val="008E0815"/>
    <w:rsid w:val="008E1EB5"/>
    <w:rsid w:val="008E4569"/>
    <w:rsid w:val="008E4D16"/>
    <w:rsid w:val="008E5136"/>
    <w:rsid w:val="008E5468"/>
    <w:rsid w:val="008F26C6"/>
    <w:rsid w:val="008F5B49"/>
    <w:rsid w:val="009003AA"/>
    <w:rsid w:val="0090040C"/>
    <w:rsid w:val="00900872"/>
    <w:rsid w:val="009016B9"/>
    <w:rsid w:val="0090228F"/>
    <w:rsid w:val="00903886"/>
    <w:rsid w:val="00907131"/>
    <w:rsid w:val="009077B1"/>
    <w:rsid w:val="009079EE"/>
    <w:rsid w:val="00911EC1"/>
    <w:rsid w:val="009123DF"/>
    <w:rsid w:val="0091416B"/>
    <w:rsid w:val="00916CA0"/>
    <w:rsid w:val="009179EC"/>
    <w:rsid w:val="00921B86"/>
    <w:rsid w:val="00922DFB"/>
    <w:rsid w:val="00931665"/>
    <w:rsid w:val="00933D73"/>
    <w:rsid w:val="009363CB"/>
    <w:rsid w:val="009376B6"/>
    <w:rsid w:val="009409DD"/>
    <w:rsid w:val="0094134F"/>
    <w:rsid w:val="0094394E"/>
    <w:rsid w:val="009443D8"/>
    <w:rsid w:val="00951F8A"/>
    <w:rsid w:val="009612C9"/>
    <w:rsid w:val="0096133A"/>
    <w:rsid w:val="00962085"/>
    <w:rsid w:val="00962E3D"/>
    <w:rsid w:val="00965E3D"/>
    <w:rsid w:val="0097011E"/>
    <w:rsid w:val="00970865"/>
    <w:rsid w:val="00973D58"/>
    <w:rsid w:val="0098225C"/>
    <w:rsid w:val="009838D8"/>
    <w:rsid w:val="00983B67"/>
    <w:rsid w:val="00983E5D"/>
    <w:rsid w:val="0098752A"/>
    <w:rsid w:val="00991556"/>
    <w:rsid w:val="00992FF9"/>
    <w:rsid w:val="00996E04"/>
    <w:rsid w:val="00997301"/>
    <w:rsid w:val="009A0A1A"/>
    <w:rsid w:val="009A16EB"/>
    <w:rsid w:val="009A2454"/>
    <w:rsid w:val="009A3312"/>
    <w:rsid w:val="009A5A45"/>
    <w:rsid w:val="009A6CCE"/>
    <w:rsid w:val="009A7DC6"/>
    <w:rsid w:val="009B0BE2"/>
    <w:rsid w:val="009B2007"/>
    <w:rsid w:val="009B3936"/>
    <w:rsid w:val="009C0154"/>
    <w:rsid w:val="009C1B96"/>
    <w:rsid w:val="009C1F0D"/>
    <w:rsid w:val="009C21A1"/>
    <w:rsid w:val="009C2BE4"/>
    <w:rsid w:val="009C4256"/>
    <w:rsid w:val="009C442F"/>
    <w:rsid w:val="009C54CD"/>
    <w:rsid w:val="009C6222"/>
    <w:rsid w:val="009D1ED3"/>
    <w:rsid w:val="009D395C"/>
    <w:rsid w:val="009D5718"/>
    <w:rsid w:val="009D625C"/>
    <w:rsid w:val="009D736A"/>
    <w:rsid w:val="009E594E"/>
    <w:rsid w:val="009E729E"/>
    <w:rsid w:val="009F0D47"/>
    <w:rsid w:val="009F2606"/>
    <w:rsid w:val="009F35AC"/>
    <w:rsid w:val="009F685C"/>
    <w:rsid w:val="009F6881"/>
    <w:rsid w:val="009F763D"/>
    <w:rsid w:val="00A00A44"/>
    <w:rsid w:val="00A01EB5"/>
    <w:rsid w:val="00A02D00"/>
    <w:rsid w:val="00A035B7"/>
    <w:rsid w:val="00A05200"/>
    <w:rsid w:val="00A10016"/>
    <w:rsid w:val="00A11178"/>
    <w:rsid w:val="00A1182F"/>
    <w:rsid w:val="00A11D7F"/>
    <w:rsid w:val="00A120E0"/>
    <w:rsid w:val="00A1435E"/>
    <w:rsid w:val="00A16438"/>
    <w:rsid w:val="00A16FBE"/>
    <w:rsid w:val="00A20917"/>
    <w:rsid w:val="00A21570"/>
    <w:rsid w:val="00A216D6"/>
    <w:rsid w:val="00A21738"/>
    <w:rsid w:val="00A24744"/>
    <w:rsid w:val="00A27C71"/>
    <w:rsid w:val="00A304F2"/>
    <w:rsid w:val="00A3088A"/>
    <w:rsid w:val="00A3286C"/>
    <w:rsid w:val="00A3419C"/>
    <w:rsid w:val="00A34628"/>
    <w:rsid w:val="00A359A2"/>
    <w:rsid w:val="00A36547"/>
    <w:rsid w:val="00A36A3D"/>
    <w:rsid w:val="00A37D7A"/>
    <w:rsid w:val="00A37DC2"/>
    <w:rsid w:val="00A400F8"/>
    <w:rsid w:val="00A40792"/>
    <w:rsid w:val="00A40E0C"/>
    <w:rsid w:val="00A47A17"/>
    <w:rsid w:val="00A47F94"/>
    <w:rsid w:val="00A500A4"/>
    <w:rsid w:val="00A519DD"/>
    <w:rsid w:val="00A51B0C"/>
    <w:rsid w:val="00A51F53"/>
    <w:rsid w:val="00A53922"/>
    <w:rsid w:val="00A553A5"/>
    <w:rsid w:val="00A56C30"/>
    <w:rsid w:val="00A6010A"/>
    <w:rsid w:val="00A60753"/>
    <w:rsid w:val="00A61DDB"/>
    <w:rsid w:val="00A624D7"/>
    <w:rsid w:val="00A627DC"/>
    <w:rsid w:val="00A67847"/>
    <w:rsid w:val="00A725B2"/>
    <w:rsid w:val="00A726E9"/>
    <w:rsid w:val="00A72C6E"/>
    <w:rsid w:val="00A731B7"/>
    <w:rsid w:val="00A75BA0"/>
    <w:rsid w:val="00A80DEA"/>
    <w:rsid w:val="00A814CD"/>
    <w:rsid w:val="00A81EAF"/>
    <w:rsid w:val="00A8681E"/>
    <w:rsid w:val="00A8735A"/>
    <w:rsid w:val="00A8736F"/>
    <w:rsid w:val="00A87AEC"/>
    <w:rsid w:val="00A9029A"/>
    <w:rsid w:val="00A90F71"/>
    <w:rsid w:val="00A941F4"/>
    <w:rsid w:val="00A95168"/>
    <w:rsid w:val="00A977A9"/>
    <w:rsid w:val="00AA0D54"/>
    <w:rsid w:val="00AA5F24"/>
    <w:rsid w:val="00AA6581"/>
    <w:rsid w:val="00AA6E5B"/>
    <w:rsid w:val="00AB19E3"/>
    <w:rsid w:val="00AB2419"/>
    <w:rsid w:val="00AB3903"/>
    <w:rsid w:val="00AB756C"/>
    <w:rsid w:val="00AC1B9B"/>
    <w:rsid w:val="00AC37E1"/>
    <w:rsid w:val="00AC3B6E"/>
    <w:rsid w:val="00AC3FFB"/>
    <w:rsid w:val="00AC5B05"/>
    <w:rsid w:val="00AC6C7A"/>
    <w:rsid w:val="00AD2450"/>
    <w:rsid w:val="00AD3066"/>
    <w:rsid w:val="00AD4763"/>
    <w:rsid w:val="00AD78F1"/>
    <w:rsid w:val="00AE33C9"/>
    <w:rsid w:val="00AE5C48"/>
    <w:rsid w:val="00AE6A8D"/>
    <w:rsid w:val="00AE6E9D"/>
    <w:rsid w:val="00AE7E66"/>
    <w:rsid w:val="00AF1D5B"/>
    <w:rsid w:val="00AF279A"/>
    <w:rsid w:val="00AF30A9"/>
    <w:rsid w:val="00AF3988"/>
    <w:rsid w:val="00AF5DC1"/>
    <w:rsid w:val="00AF7D7A"/>
    <w:rsid w:val="00B009B0"/>
    <w:rsid w:val="00B0233A"/>
    <w:rsid w:val="00B023A3"/>
    <w:rsid w:val="00B032B8"/>
    <w:rsid w:val="00B04623"/>
    <w:rsid w:val="00B05B4E"/>
    <w:rsid w:val="00B065F5"/>
    <w:rsid w:val="00B06661"/>
    <w:rsid w:val="00B06E10"/>
    <w:rsid w:val="00B10EE6"/>
    <w:rsid w:val="00B12F1C"/>
    <w:rsid w:val="00B159E3"/>
    <w:rsid w:val="00B17F2B"/>
    <w:rsid w:val="00B217ED"/>
    <w:rsid w:val="00B21E38"/>
    <w:rsid w:val="00B2280B"/>
    <w:rsid w:val="00B2599C"/>
    <w:rsid w:val="00B259D3"/>
    <w:rsid w:val="00B26A8F"/>
    <w:rsid w:val="00B32E22"/>
    <w:rsid w:val="00B34365"/>
    <w:rsid w:val="00B353AE"/>
    <w:rsid w:val="00B35FDD"/>
    <w:rsid w:val="00B36008"/>
    <w:rsid w:val="00B371DF"/>
    <w:rsid w:val="00B4186D"/>
    <w:rsid w:val="00B41BAD"/>
    <w:rsid w:val="00B41DAD"/>
    <w:rsid w:val="00B51782"/>
    <w:rsid w:val="00B53F54"/>
    <w:rsid w:val="00B54833"/>
    <w:rsid w:val="00B56B95"/>
    <w:rsid w:val="00B60965"/>
    <w:rsid w:val="00B61BF4"/>
    <w:rsid w:val="00B63252"/>
    <w:rsid w:val="00B63662"/>
    <w:rsid w:val="00B648CF"/>
    <w:rsid w:val="00B65B4B"/>
    <w:rsid w:val="00B676C5"/>
    <w:rsid w:val="00B67CA2"/>
    <w:rsid w:val="00B70257"/>
    <w:rsid w:val="00B7131B"/>
    <w:rsid w:val="00B71553"/>
    <w:rsid w:val="00B729C8"/>
    <w:rsid w:val="00B7531F"/>
    <w:rsid w:val="00B763EE"/>
    <w:rsid w:val="00B767CC"/>
    <w:rsid w:val="00B77DF7"/>
    <w:rsid w:val="00B77F31"/>
    <w:rsid w:val="00B80361"/>
    <w:rsid w:val="00B80E63"/>
    <w:rsid w:val="00B8166A"/>
    <w:rsid w:val="00B81AA4"/>
    <w:rsid w:val="00B85F00"/>
    <w:rsid w:val="00B860F9"/>
    <w:rsid w:val="00B86DC2"/>
    <w:rsid w:val="00B90474"/>
    <w:rsid w:val="00B90F8E"/>
    <w:rsid w:val="00B92600"/>
    <w:rsid w:val="00B93BE1"/>
    <w:rsid w:val="00B9477C"/>
    <w:rsid w:val="00B95853"/>
    <w:rsid w:val="00B97097"/>
    <w:rsid w:val="00B97969"/>
    <w:rsid w:val="00BA022D"/>
    <w:rsid w:val="00BA105D"/>
    <w:rsid w:val="00BA1C27"/>
    <w:rsid w:val="00BA298B"/>
    <w:rsid w:val="00BA444B"/>
    <w:rsid w:val="00BB0E98"/>
    <w:rsid w:val="00BB5153"/>
    <w:rsid w:val="00BB6C62"/>
    <w:rsid w:val="00BC3A96"/>
    <w:rsid w:val="00BC4633"/>
    <w:rsid w:val="00BC547A"/>
    <w:rsid w:val="00BC7082"/>
    <w:rsid w:val="00BD3B13"/>
    <w:rsid w:val="00BD46D8"/>
    <w:rsid w:val="00BD565F"/>
    <w:rsid w:val="00BD56F2"/>
    <w:rsid w:val="00BE2426"/>
    <w:rsid w:val="00BE2814"/>
    <w:rsid w:val="00BE66E7"/>
    <w:rsid w:val="00BF00C9"/>
    <w:rsid w:val="00BF1EEF"/>
    <w:rsid w:val="00BF4C38"/>
    <w:rsid w:val="00BF5816"/>
    <w:rsid w:val="00BF58C3"/>
    <w:rsid w:val="00BF61BE"/>
    <w:rsid w:val="00BF76ED"/>
    <w:rsid w:val="00BF7DD6"/>
    <w:rsid w:val="00C01D8B"/>
    <w:rsid w:val="00C02487"/>
    <w:rsid w:val="00C02B59"/>
    <w:rsid w:val="00C0493E"/>
    <w:rsid w:val="00C052C8"/>
    <w:rsid w:val="00C06EC9"/>
    <w:rsid w:val="00C07866"/>
    <w:rsid w:val="00C078B4"/>
    <w:rsid w:val="00C13E2B"/>
    <w:rsid w:val="00C14A09"/>
    <w:rsid w:val="00C20067"/>
    <w:rsid w:val="00C257BE"/>
    <w:rsid w:val="00C259E0"/>
    <w:rsid w:val="00C27B39"/>
    <w:rsid w:val="00C318B4"/>
    <w:rsid w:val="00C31CFE"/>
    <w:rsid w:val="00C4040B"/>
    <w:rsid w:val="00C419FB"/>
    <w:rsid w:val="00C4231D"/>
    <w:rsid w:val="00C42D01"/>
    <w:rsid w:val="00C433E3"/>
    <w:rsid w:val="00C434A0"/>
    <w:rsid w:val="00C4389B"/>
    <w:rsid w:val="00C451A5"/>
    <w:rsid w:val="00C471F3"/>
    <w:rsid w:val="00C4773C"/>
    <w:rsid w:val="00C47908"/>
    <w:rsid w:val="00C544E1"/>
    <w:rsid w:val="00C56026"/>
    <w:rsid w:val="00C62616"/>
    <w:rsid w:val="00C6275A"/>
    <w:rsid w:val="00C62C29"/>
    <w:rsid w:val="00C659F2"/>
    <w:rsid w:val="00C66BF2"/>
    <w:rsid w:val="00C73D45"/>
    <w:rsid w:val="00C75109"/>
    <w:rsid w:val="00C7630A"/>
    <w:rsid w:val="00C81642"/>
    <w:rsid w:val="00C82C91"/>
    <w:rsid w:val="00C830A8"/>
    <w:rsid w:val="00C8373F"/>
    <w:rsid w:val="00C847F2"/>
    <w:rsid w:val="00C857E9"/>
    <w:rsid w:val="00C859F7"/>
    <w:rsid w:val="00C8687D"/>
    <w:rsid w:val="00C87456"/>
    <w:rsid w:val="00C8755E"/>
    <w:rsid w:val="00C87734"/>
    <w:rsid w:val="00C918EE"/>
    <w:rsid w:val="00C91A2F"/>
    <w:rsid w:val="00C947B6"/>
    <w:rsid w:val="00C97BF2"/>
    <w:rsid w:val="00CA113B"/>
    <w:rsid w:val="00CA2B99"/>
    <w:rsid w:val="00CA33D5"/>
    <w:rsid w:val="00CA3985"/>
    <w:rsid w:val="00CA4126"/>
    <w:rsid w:val="00CB04A3"/>
    <w:rsid w:val="00CB0E80"/>
    <w:rsid w:val="00CB2610"/>
    <w:rsid w:val="00CB2E4F"/>
    <w:rsid w:val="00CC2ED7"/>
    <w:rsid w:val="00CD32CB"/>
    <w:rsid w:val="00CD604B"/>
    <w:rsid w:val="00CD6175"/>
    <w:rsid w:val="00CE0138"/>
    <w:rsid w:val="00CE0581"/>
    <w:rsid w:val="00CE2B2F"/>
    <w:rsid w:val="00CE40FB"/>
    <w:rsid w:val="00CE44F6"/>
    <w:rsid w:val="00CE6552"/>
    <w:rsid w:val="00CF16D9"/>
    <w:rsid w:val="00CF38BD"/>
    <w:rsid w:val="00CF55DD"/>
    <w:rsid w:val="00CF5F7D"/>
    <w:rsid w:val="00CF65FD"/>
    <w:rsid w:val="00CF6E67"/>
    <w:rsid w:val="00CF75EB"/>
    <w:rsid w:val="00CF78C3"/>
    <w:rsid w:val="00D02613"/>
    <w:rsid w:val="00D0412A"/>
    <w:rsid w:val="00D05B77"/>
    <w:rsid w:val="00D05C2F"/>
    <w:rsid w:val="00D065A6"/>
    <w:rsid w:val="00D10920"/>
    <w:rsid w:val="00D13D88"/>
    <w:rsid w:val="00D17B24"/>
    <w:rsid w:val="00D17B25"/>
    <w:rsid w:val="00D205D8"/>
    <w:rsid w:val="00D210F7"/>
    <w:rsid w:val="00D22500"/>
    <w:rsid w:val="00D26A72"/>
    <w:rsid w:val="00D321B2"/>
    <w:rsid w:val="00D324A2"/>
    <w:rsid w:val="00D32871"/>
    <w:rsid w:val="00D34A96"/>
    <w:rsid w:val="00D34EC8"/>
    <w:rsid w:val="00D351B6"/>
    <w:rsid w:val="00D40701"/>
    <w:rsid w:val="00D40BC6"/>
    <w:rsid w:val="00D440FB"/>
    <w:rsid w:val="00D449E8"/>
    <w:rsid w:val="00D45C1C"/>
    <w:rsid w:val="00D47429"/>
    <w:rsid w:val="00D51BC1"/>
    <w:rsid w:val="00D52B3F"/>
    <w:rsid w:val="00D537C6"/>
    <w:rsid w:val="00D542B7"/>
    <w:rsid w:val="00D54DA3"/>
    <w:rsid w:val="00D57B27"/>
    <w:rsid w:val="00D60DD4"/>
    <w:rsid w:val="00D61F46"/>
    <w:rsid w:val="00D6263E"/>
    <w:rsid w:val="00D63B0F"/>
    <w:rsid w:val="00D63F05"/>
    <w:rsid w:val="00D72C74"/>
    <w:rsid w:val="00D75064"/>
    <w:rsid w:val="00D77997"/>
    <w:rsid w:val="00D809D3"/>
    <w:rsid w:val="00D80A06"/>
    <w:rsid w:val="00D83172"/>
    <w:rsid w:val="00D8491A"/>
    <w:rsid w:val="00D84B08"/>
    <w:rsid w:val="00D912B6"/>
    <w:rsid w:val="00D935FD"/>
    <w:rsid w:val="00D944F5"/>
    <w:rsid w:val="00D94EE6"/>
    <w:rsid w:val="00D9500A"/>
    <w:rsid w:val="00D95C04"/>
    <w:rsid w:val="00D97068"/>
    <w:rsid w:val="00D971EB"/>
    <w:rsid w:val="00D97AD1"/>
    <w:rsid w:val="00D97B2A"/>
    <w:rsid w:val="00DA29A4"/>
    <w:rsid w:val="00DA337A"/>
    <w:rsid w:val="00DA4761"/>
    <w:rsid w:val="00DA6D88"/>
    <w:rsid w:val="00DB1667"/>
    <w:rsid w:val="00DB36F3"/>
    <w:rsid w:val="00DB3D56"/>
    <w:rsid w:val="00DB3FE2"/>
    <w:rsid w:val="00DB4CD4"/>
    <w:rsid w:val="00DB5144"/>
    <w:rsid w:val="00DC3A43"/>
    <w:rsid w:val="00DC4A99"/>
    <w:rsid w:val="00DC58F8"/>
    <w:rsid w:val="00DD289E"/>
    <w:rsid w:val="00DD44C7"/>
    <w:rsid w:val="00DD47BC"/>
    <w:rsid w:val="00DD5C36"/>
    <w:rsid w:val="00DD78E7"/>
    <w:rsid w:val="00DE3D47"/>
    <w:rsid w:val="00DE3FF6"/>
    <w:rsid w:val="00DE4254"/>
    <w:rsid w:val="00DE5A94"/>
    <w:rsid w:val="00DE5F78"/>
    <w:rsid w:val="00DE655D"/>
    <w:rsid w:val="00DF0671"/>
    <w:rsid w:val="00DF0A4B"/>
    <w:rsid w:val="00DF2DBB"/>
    <w:rsid w:val="00DF37AA"/>
    <w:rsid w:val="00DF43B8"/>
    <w:rsid w:val="00DF454D"/>
    <w:rsid w:val="00DF5E63"/>
    <w:rsid w:val="00DF6B12"/>
    <w:rsid w:val="00E007F5"/>
    <w:rsid w:val="00E12585"/>
    <w:rsid w:val="00E12C79"/>
    <w:rsid w:val="00E131F4"/>
    <w:rsid w:val="00E148EA"/>
    <w:rsid w:val="00E16432"/>
    <w:rsid w:val="00E17487"/>
    <w:rsid w:val="00E22100"/>
    <w:rsid w:val="00E25EC5"/>
    <w:rsid w:val="00E26EA4"/>
    <w:rsid w:val="00E32B65"/>
    <w:rsid w:val="00E35472"/>
    <w:rsid w:val="00E354BD"/>
    <w:rsid w:val="00E367B1"/>
    <w:rsid w:val="00E37B96"/>
    <w:rsid w:val="00E37D33"/>
    <w:rsid w:val="00E4051F"/>
    <w:rsid w:val="00E43F58"/>
    <w:rsid w:val="00E4532C"/>
    <w:rsid w:val="00E455B8"/>
    <w:rsid w:val="00E468A0"/>
    <w:rsid w:val="00E5210E"/>
    <w:rsid w:val="00E52284"/>
    <w:rsid w:val="00E52DF1"/>
    <w:rsid w:val="00E5360B"/>
    <w:rsid w:val="00E55B7A"/>
    <w:rsid w:val="00E5662A"/>
    <w:rsid w:val="00E577D0"/>
    <w:rsid w:val="00E57D5E"/>
    <w:rsid w:val="00E6097B"/>
    <w:rsid w:val="00E60F9A"/>
    <w:rsid w:val="00E6230F"/>
    <w:rsid w:val="00E62CB1"/>
    <w:rsid w:val="00E65DAE"/>
    <w:rsid w:val="00E6679D"/>
    <w:rsid w:val="00E67A41"/>
    <w:rsid w:val="00E7170C"/>
    <w:rsid w:val="00E7433D"/>
    <w:rsid w:val="00E74681"/>
    <w:rsid w:val="00E74C15"/>
    <w:rsid w:val="00E75233"/>
    <w:rsid w:val="00E76F7E"/>
    <w:rsid w:val="00E77149"/>
    <w:rsid w:val="00E83161"/>
    <w:rsid w:val="00E83FC4"/>
    <w:rsid w:val="00E848D8"/>
    <w:rsid w:val="00E86BC4"/>
    <w:rsid w:val="00E86BDD"/>
    <w:rsid w:val="00E92FF8"/>
    <w:rsid w:val="00E97F02"/>
    <w:rsid w:val="00EA0089"/>
    <w:rsid w:val="00EA2133"/>
    <w:rsid w:val="00EA608E"/>
    <w:rsid w:val="00EA780D"/>
    <w:rsid w:val="00EA7A17"/>
    <w:rsid w:val="00EB0542"/>
    <w:rsid w:val="00EB0C15"/>
    <w:rsid w:val="00EB0EFD"/>
    <w:rsid w:val="00EB52A5"/>
    <w:rsid w:val="00EB769C"/>
    <w:rsid w:val="00EC0156"/>
    <w:rsid w:val="00EC01CB"/>
    <w:rsid w:val="00EC17FD"/>
    <w:rsid w:val="00EC680C"/>
    <w:rsid w:val="00EC68A1"/>
    <w:rsid w:val="00EC6A64"/>
    <w:rsid w:val="00EC70D6"/>
    <w:rsid w:val="00EC780B"/>
    <w:rsid w:val="00ED1FED"/>
    <w:rsid w:val="00ED50D9"/>
    <w:rsid w:val="00ED60B7"/>
    <w:rsid w:val="00EE19FF"/>
    <w:rsid w:val="00EE60FF"/>
    <w:rsid w:val="00EF090A"/>
    <w:rsid w:val="00EF19C0"/>
    <w:rsid w:val="00EF4CFB"/>
    <w:rsid w:val="00EF5E7C"/>
    <w:rsid w:val="00EF61CC"/>
    <w:rsid w:val="00EF7296"/>
    <w:rsid w:val="00F04A8B"/>
    <w:rsid w:val="00F058FE"/>
    <w:rsid w:val="00F062F1"/>
    <w:rsid w:val="00F06DDA"/>
    <w:rsid w:val="00F10A83"/>
    <w:rsid w:val="00F10CE0"/>
    <w:rsid w:val="00F12FCF"/>
    <w:rsid w:val="00F1715F"/>
    <w:rsid w:val="00F20C96"/>
    <w:rsid w:val="00F21191"/>
    <w:rsid w:val="00F223DA"/>
    <w:rsid w:val="00F22FA2"/>
    <w:rsid w:val="00F24D32"/>
    <w:rsid w:val="00F31135"/>
    <w:rsid w:val="00F320A4"/>
    <w:rsid w:val="00F405EC"/>
    <w:rsid w:val="00F40F64"/>
    <w:rsid w:val="00F47121"/>
    <w:rsid w:val="00F51179"/>
    <w:rsid w:val="00F51540"/>
    <w:rsid w:val="00F52B43"/>
    <w:rsid w:val="00F558A1"/>
    <w:rsid w:val="00F56A91"/>
    <w:rsid w:val="00F5774D"/>
    <w:rsid w:val="00F60829"/>
    <w:rsid w:val="00F60F81"/>
    <w:rsid w:val="00F616AF"/>
    <w:rsid w:val="00F65C05"/>
    <w:rsid w:val="00F6619B"/>
    <w:rsid w:val="00F71254"/>
    <w:rsid w:val="00F719A9"/>
    <w:rsid w:val="00F724A3"/>
    <w:rsid w:val="00F729AD"/>
    <w:rsid w:val="00F81223"/>
    <w:rsid w:val="00F83D21"/>
    <w:rsid w:val="00F843CB"/>
    <w:rsid w:val="00F8509C"/>
    <w:rsid w:val="00F852C3"/>
    <w:rsid w:val="00F86758"/>
    <w:rsid w:val="00F86DBE"/>
    <w:rsid w:val="00F90438"/>
    <w:rsid w:val="00F91661"/>
    <w:rsid w:val="00F96B65"/>
    <w:rsid w:val="00FA14AC"/>
    <w:rsid w:val="00FA1AF0"/>
    <w:rsid w:val="00FA6653"/>
    <w:rsid w:val="00FA7AC8"/>
    <w:rsid w:val="00FB177C"/>
    <w:rsid w:val="00FC213A"/>
    <w:rsid w:val="00FC3823"/>
    <w:rsid w:val="00FC4F88"/>
    <w:rsid w:val="00FD0232"/>
    <w:rsid w:val="00FD05D6"/>
    <w:rsid w:val="00FD2185"/>
    <w:rsid w:val="00FD2535"/>
    <w:rsid w:val="00FD3165"/>
    <w:rsid w:val="00FD35E5"/>
    <w:rsid w:val="00FD3770"/>
    <w:rsid w:val="00FD42D6"/>
    <w:rsid w:val="00FE10C7"/>
    <w:rsid w:val="00FE1675"/>
    <w:rsid w:val="00FE3864"/>
    <w:rsid w:val="00FF2A4E"/>
    <w:rsid w:val="00FF2B7C"/>
    <w:rsid w:val="00FF4151"/>
    <w:rsid w:val="00FF4525"/>
    <w:rsid w:val="00FF6E82"/>
    <w:rsid w:val="00FF76CE"/>
    <w:rsid w:val="00FF7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AD3066"/>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AD3066"/>
    <w:rPr>
      <w:sz w:val="20"/>
    </w:rPr>
  </w:style>
  <w:style w:type="character" w:styleId="CommentReference">
    <w:name w:val="annotation reference"/>
    <w:basedOn w:val="DefaultParagraphFont"/>
    <w:uiPriority w:val="99"/>
    <w:semiHidden/>
    <w:unhideWhenUsed/>
    <w:locked/>
    <w:rsid w:val="001D33E1"/>
    <w:rPr>
      <w:sz w:val="16"/>
      <w:szCs w:val="16"/>
    </w:rPr>
  </w:style>
  <w:style w:type="paragraph" w:styleId="CommentText">
    <w:name w:val="annotation text"/>
    <w:basedOn w:val="Normal"/>
    <w:link w:val="CommentTextChar"/>
    <w:uiPriority w:val="99"/>
    <w:unhideWhenUsed/>
    <w:locked/>
    <w:rsid w:val="001D33E1"/>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1D33E1"/>
    <w:rPr>
      <w:rFonts w:eastAsiaTheme="minorHAnsi" w:cstheme="minorBidi"/>
      <w:sz w:val="20"/>
      <w:lang w:val="en-US" w:eastAsia="en-US"/>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locked/>
    <w:rsid w:val="001D33E1"/>
    <w:rPr>
      <w:vertAlign w:val="superscript"/>
    </w:rPr>
  </w:style>
  <w:style w:type="character" w:customStyle="1" w:styleId="TitleChar">
    <w:name w:val="Title Char"/>
    <w:basedOn w:val="DefaultParagraphFont"/>
    <w:link w:val="Title"/>
    <w:uiPriority w:val="10"/>
    <w:rsid w:val="001D33E1"/>
    <w:rPr>
      <w:b/>
      <w:kern w:val="28"/>
      <w:sz w:val="48"/>
    </w:rPr>
  </w:style>
  <w:style w:type="table" w:styleId="GridTable7Colorful-Accent6">
    <w:name w:val="Grid Table 7 Colorful Accent 6"/>
    <w:basedOn w:val="TableNormal"/>
    <w:uiPriority w:val="52"/>
    <w:locked/>
    <w:rsid w:val="001D33E1"/>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1D33E1"/>
    <w:rPr>
      <w:b/>
      <w:smallCaps/>
    </w:rPr>
  </w:style>
  <w:style w:type="character" w:customStyle="1" w:styleId="Heading2Char">
    <w:name w:val="Heading 2 Char"/>
    <w:basedOn w:val="DefaultParagraphFont"/>
    <w:link w:val="Heading2"/>
    <w:uiPriority w:val="9"/>
    <w:rsid w:val="001D33E1"/>
    <w:rPr>
      <w:b/>
    </w:rPr>
  </w:style>
  <w:style w:type="character" w:customStyle="1" w:styleId="Heading3Char">
    <w:name w:val="Heading 3 Char"/>
    <w:basedOn w:val="DefaultParagraphFont"/>
    <w:link w:val="Heading3"/>
    <w:uiPriority w:val="9"/>
    <w:rsid w:val="001D33E1"/>
    <w:rPr>
      <w:i/>
    </w:rPr>
  </w:style>
  <w:style w:type="character" w:customStyle="1" w:styleId="Heading4Char">
    <w:name w:val="Heading 4 Char"/>
    <w:basedOn w:val="DefaultParagraphFont"/>
    <w:link w:val="Heading4"/>
    <w:uiPriority w:val="9"/>
    <w:rsid w:val="001D33E1"/>
  </w:style>
  <w:style w:type="character" w:customStyle="1" w:styleId="Heading5Char">
    <w:name w:val="Heading 5 Char"/>
    <w:basedOn w:val="DefaultParagraphFont"/>
    <w:link w:val="Heading5"/>
    <w:uiPriority w:val="9"/>
    <w:semiHidden/>
    <w:rsid w:val="001D33E1"/>
  </w:style>
  <w:style w:type="character" w:customStyle="1" w:styleId="Heading6Char">
    <w:name w:val="Heading 6 Char"/>
    <w:basedOn w:val="DefaultParagraphFont"/>
    <w:link w:val="Heading6"/>
    <w:uiPriority w:val="9"/>
    <w:semiHidden/>
    <w:rsid w:val="001D33E1"/>
  </w:style>
  <w:style w:type="character" w:customStyle="1" w:styleId="Heading7Char">
    <w:name w:val="Heading 7 Char"/>
    <w:basedOn w:val="DefaultParagraphFont"/>
    <w:link w:val="Heading7"/>
    <w:uiPriority w:val="9"/>
    <w:semiHidden/>
    <w:rsid w:val="001D33E1"/>
  </w:style>
  <w:style w:type="character" w:customStyle="1" w:styleId="Heading8Char">
    <w:name w:val="Heading 8 Char"/>
    <w:basedOn w:val="DefaultParagraphFont"/>
    <w:link w:val="Heading8"/>
    <w:uiPriority w:val="9"/>
    <w:semiHidden/>
    <w:rsid w:val="001D33E1"/>
  </w:style>
  <w:style w:type="character" w:customStyle="1" w:styleId="Heading9Char">
    <w:name w:val="Heading 9 Char"/>
    <w:basedOn w:val="DefaultParagraphFont"/>
    <w:link w:val="Heading9"/>
    <w:uiPriority w:val="9"/>
    <w:semiHidden/>
    <w:rsid w:val="001D33E1"/>
  </w:style>
  <w:style w:type="paragraph" w:customStyle="1" w:styleId="FootnoteRoLReport">
    <w:name w:val="Footnote RoL Report"/>
    <w:basedOn w:val="FootnoteText"/>
    <w:link w:val="FootnoteRoLReportChar"/>
    <w:autoRedefine/>
    <w:qFormat/>
    <w:rsid w:val="001D33E1"/>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1D33E1"/>
    <w:rPr>
      <w:rFonts w:eastAsiaTheme="minorHAnsi" w:cstheme="minorBidi"/>
      <w:sz w:val="20"/>
      <w:lang w:val="en-US" w:eastAsia="en-US"/>
    </w:rPr>
  </w:style>
  <w:style w:type="paragraph" w:styleId="ListParagraph">
    <w:name w:val="List Paragraph"/>
    <w:basedOn w:val="Normal"/>
    <w:uiPriority w:val="34"/>
    <w:qFormat/>
    <w:locked/>
    <w:rsid w:val="001D33E1"/>
    <w:pPr>
      <w:ind w:left="720"/>
      <w:contextualSpacing/>
    </w:pPr>
    <w:rPr>
      <w:rFonts w:eastAsiaTheme="minorHAnsi" w:cstheme="minorBidi"/>
      <w:szCs w:val="22"/>
      <w:lang w:val="en-US" w:eastAsia="en-US"/>
    </w:rPr>
  </w:style>
  <w:style w:type="paragraph" w:styleId="NormalWeb">
    <w:name w:val="Normal (Web)"/>
    <w:basedOn w:val="Normal"/>
    <w:uiPriority w:val="99"/>
    <w:semiHidden/>
    <w:unhideWhenUsed/>
    <w:locked/>
    <w:rsid w:val="001D33E1"/>
    <w:rPr>
      <w:rFonts w:eastAsiaTheme="minorHAnsi"/>
      <w:szCs w:val="24"/>
      <w:lang w:val="en-US" w:eastAsia="en-US"/>
    </w:rPr>
  </w:style>
  <w:style w:type="character" w:styleId="Hyperlink">
    <w:name w:val="Hyperlink"/>
    <w:basedOn w:val="DefaultParagraphFont"/>
    <w:uiPriority w:val="99"/>
    <w:unhideWhenUsed/>
    <w:locked/>
    <w:rsid w:val="001D33E1"/>
    <w:rPr>
      <w:color w:val="0563C1" w:themeColor="hyperlink"/>
      <w:u w:val="single"/>
    </w:rPr>
  </w:style>
  <w:style w:type="character" w:customStyle="1" w:styleId="UnresolvedMention">
    <w:name w:val="Unresolved Mention"/>
    <w:basedOn w:val="DefaultParagraphFont"/>
    <w:uiPriority w:val="99"/>
    <w:semiHidden/>
    <w:unhideWhenUsed/>
    <w:rsid w:val="001D33E1"/>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rsid w:val="001D33E1"/>
    <w:pPr>
      <w:spacing w:after="160" w:line="240" w:lineRule="exact"/>
    </w:pPr>
    <w:rPr>
      <w:vertAlign w:val="superscript"/>
    </w:rPr>
  </w:style>
  <w:style w:type="paragraph" w:styleId="Revision">
    <w:name w:val="Revision"/>
    <w:hidden/>
    <w:uiPriority w:val="99"/>
    <w:semiHidden/>
    <w:locked/>
    <w:rsid w:val="001D33E1"/>
    <w:rPr>
      <w:rFonts w:eastAsiaTheme="minorHAnsi" w:cstheme="minorBidi"/>
      <w:szCs w:val="22"/>
      <w:lang w:val="en-US" w:eastAsia="en-US"/>
    </w:rPr>
  </w:style>
  <w:style w:type="paragraph" w:styleId="CommentSubject">
    <w:name w:val="annotation subject"/>
    <w:basedOn w:val="CommentText"/>
    <w:next w:val="CommentText"/>
    <w:link w:val="CommentSubjectChar"/>
    <w:uiPriority w:val="99"/>
    <w:semiHidden/>
    <w:unhideWhenUsed/>
    <w:locked/>
    <w:rsid w:val="001D33E1"/>
    <w:rPr>
      <w:b/>
      <w:bCs/>
    </w:rPr>
  </w:style>
  <w:style w:type="character" w:customStyle="1" w:styleId="CommentSubjectChar">
    <w:name w:val="Comment Subject Char"/>
    <w:basedOn w:val="CommentTextChar"/>
    <w:link w:val="CommentSubject"/>
    <w:uiPriority w:val="99"/>
    <w:semiHidden/>
    <w:rsid w:val="001D33E1"/>
    <w:rPr>
      <w:rFonts w:eastAsiaTheme="minorHAnsi" w:cstheme="minorBidi"/>
      <w:b/>
      <w:bCs/>
      <w:sz w:val="20"/>
      <w:lang w:val="en-US" w:eastAsia="en-US"/>
    </w:rPr>
  </w:style>
  <w:style w:type="character" w:styleId="FollowedHyperlink">
    <w:name w:val="FollowedHyperlink"/>
    <w:basedOn w:val="DefaultParagraphFont"/>
    <w:uiPriority w:val="99"/>
    <w:semiHidden/>
    <w:unhideWhenUsed/>
    <w:locked/>
    <w:rsid w:val="001D33E1"/>
    <w:rPr>
      <w:color w:val="954F72" w:themeColor="followedHyperlink"/>
      <w:u w:val="single"/>
    </w:rPr>
  </w:style>
  <w:style w:type="character" w:customStyle="1" w:styleId="Mention">
    <w:name w:val="Mention"/>
    <w:basedOn w:val="DefaultParagraphFont"/>
    <w:uiPriority w:val="99"/>
    <w:unhideWhenUsed/>
    <w:rsid w:val="001D33E1"/>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1D33E1"/>
    <w:pPr>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Typeacteprincipal">
    <w:name w:val="Type acte principal"/>
    <w:basedOn w:val="Normal"/>
    <w:next w:val="Normal"/>
    <w:rsid w:val="009C1B96"/>
    <w:pPr>
      <w:jc w:val="center"/>
    </w:pPr>
    <w:rPr>
      <w:rFonts w:eastAsiaTheme="minorHAnsi"/>
      <w:b/>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73455">
      <w:bodyDiv w:val="1"/>
      <w:marLeft w:val="0"/>
      <w:marRight w:val="0"/>
      <w:marTop w:val="0"/>
      <w:marBottom w:val="0"/>
      <w:divBdr>
        <w:top w:val="none" w:sz="0" w:space="0" w:color="auto"/>
        <w:left w:val="none" w:sz="0" w:space="0" w:color="auto"/>
        <w:bottom w:val="none" w:sz="0" w:space="0" w:color="auto"/>
        <w:right w:val="none" w:sz="0" w:space="0" w:color="auto"/>
      </w:divBdr>
    </w:div>
    <w:div w:id="883298349">
      <w:bodyDiv w:val="1"/>
      <w:marLeft w:val="0"/>
      <w:marRight w:val="0"/>
      <w:marTop w:val="0"/>
      <w:marBottom w:val="0"/>
      <w:divBdr>
        <w:top w:val="none" w:sz="0" w:space="0" w:color="auto"/>
        <w:left w:val="none" w:sz="0" w:space="0" w:color="auto"/>
        <w:bottom w:val="none" w:sz="0" w:space="0" w:color="auto"/>
        <w:right w:val="none" w:sz="0" w:space="0" w:color="auto"/>
      </w:divBdr>
    </w:div>
    <w:div w:id="913396359">
      <w:bodyDiv w:val="1"/>
      <w:marLeft w:val="0"/>
      <w:marRight w:val="0"/>
      <w:marTop w:val="0"/>
      <w:marBottom w:val="0"/>
      <w:divBdr>
        <w:top w:val="none" w:sz="0" w:space="0" w:color="auto"/>
        <w:left w:val="none" w:sz="0" w:space="0" w:color="auto"/>
        <w:bottom w:val="none" w:sz="0" w:space="0" w:color="auto"/>
        <w:right w:val="none" w:sz="0" w:space="0" w:color="auto"/>
      </w:divBdr>
    </w:div>
    <w:div w:id="1031148376">
      <w:bodyDiv w:val="1"/>
      <w:marLeft w:val="0"/>
      <w:marRight w:val="0"/>
      <w:marTop w:val="0"/>
      <w:marBottom w:val="0"/>
      <w:divBdr>
        <w:top w:val="none" w:sz="0" w:space="0" w:color="auto"/>
        <w:left w:val="none" w:sz="0" w:space="0" w:color="auto"/>
        <w:bottom w:val="none" w:sz="0" w:space="0" w:color="auto"/>
        <w:right w:val="none" w:sz="0" w:space="0" w:color="auto"/>
      </w:divBdr>
    </w:div>
    <w:div w:id="1518959991">
      <w:bodyDiv w:val="1"/>
      <w:marLeft w:val="0"/>
      <w:marRight w:val="0"/>
      <w:marTop w:val="0"/>
      <w:marBottom w:val="0"/>
      <w:divBdr>
        <w:top w:val="none" w:sz="0" w:space="0" w:color="auto"/>
        <w:left w:val="none" w:sz="0" w:space="0" w:color="auto"/>
        <w:bottom w:val="none" w:sz="0" w:space="0" w:color="auto"/>
        <w:right w:val="none" w:sz="0" w:space="0" w:color="auto"/>
      </w:divBdr>
    </w:div>
    <w:div w:id="1694770334">
      <w:bodyDiv w:val="1"/>
      <w:marLeft w:val="0"/>
      <w:marRight w:val="0"/>
      <w:marTop w:val="0"/>
      <w:marBottom w:val="0"/>
      <w:divBdr>
        <w:top w:val="none" w:sz="0" w:space="0" w:color="auto"/>
        <w:left w:val="none" w:sz="0" w:space="0" w:color="auto"/>
        <w:bottom w:val="none" w:sz="0" w:space="0" w:color="auto"/>
        <w:right w:val="none" w:sz="0" w:space="0" w:color="auto"/>
      </w:divBdr>
    </w:div>
    <w:div w:id="1913076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urldefense.com/v3/__https:/www.kpk-rs.si/sl/novice/vse-novice/korupcijska-tveganja-pri-zaposlitvi-v-sdh-vlada-naj-sistemsko-omeji-prehajanje-med-politiko-in-gospodarstvom__;!!DOxrgLBm!AgzN5FDRg_O2Ng9ptlxmtELnO0aPfNNMhJjOU6wK0Rm9NzQoXFa3AwAAbFzxRzYDhVFuA0fYLfi9ROu-s2y1i6REFFq7NLda$" TargetMode="External"/><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www.sodisce.si/sodni_postopki/objave/2026040110554618/"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the-case.eu/wp-content/uploads/2026/01/CASE-2025-Report-layoutted-vf.pdf?utm_source=chatgpt.com" TargetMode="External"/><Relationship Id="rId33" Type="http://schemas.openxmlformats.org/officeDocument/2006/relationships/hyperlink" Target="https://www.sodisce.si/sodni_postopki/objave/2026033110575928/"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sodisce.si/sodni_postopki/objave/2026021910221036/"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gov.si/novice/2025-10-09-odziv-kabineta-predsednika-vlade-na-javno-pismo-predsednika-komisije-za-preprecevanje-korupcije/" TargetMode="External"/><Relationship Id="rId32" Type="http://schemas.openxmlformats.org/officeDocument/2006/relationships/hyperlink" Target="https://www.gov.si/novice/2026-05-11-slovenija-med-uspesnejsimi-pri-zasciti-pred-tozbami-slapp/" TargetMode="Externa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novinar.com/novica/dostop-javnih-podatkov-ni-privilegij-je-temelj-demokracije/" TargetMode="External"/><Relationship Id="rId28" Type="http://schemas.openxmlformats.org/officeDocument/2006/relationships/hyperlink" Target="https://www.us-rs.si/odlocitev/?q=U-I-144%2F19&amp;order=desc&amp;id=120340" TargetMode="External"/><Relationship Id="rId36" Type="http://schemas.openxmlformats.org/officeDocument/2006/relationships/header" Target="head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www.sodni-svet.si/?p=objave-117"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kpk-rs.si/storage/uploads/66adb178-c231-4df3-bbfa-6ca6ec7be0a4/Letno-poro%C4%8Dilo-2025_za-objavo.pdf" TargetMode="External"/><Relationship Id="rId30" Type="http://schemas.openxmlformats.org/officeDocument/2006/relationships/hyperlink" Target="http://www.sodni-svet.si/?p=objave-112" TargetMode="External"/><Relationship Id="rId35" Type="http://schemas.openxmlformats.org/officeDocument/2006/relationships/hyperlink" Target="https://www.sodisce.si/sodni_postopki/objave/2026020315352628/"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execution/the-supervision-process" TargetMode="External"/><Relationship Id="rId2" Type="http://schemas.openxmlformats.org/officeDocument/2006/relationships/hyperlink" Target="https://www.kpk-rs.si/sl/instituti/lobiranje/register-lobistov"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6.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688CD-5267-48B9-91EE-026E1B6D0101}">
  <ds:schemaRefs>
    <ds:schemaRef ds:uri="http://schemas.microsoft.com/sharepoint/v3/contenttype/forms"/>
  </ds:schemaRefs>
</ds:datastoreItem>
</file>

<file path=customXml/itemProps2.xml><?xml version="1.0" encoding="utf-8"?>
<ds:datastoreItem xmlns:ds="http://schemas.openxmlformats.org/officeDocument/2006/customXml" ds:itemID="{23194D83-9565-476D-B6AB-A84AB5A55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F7F3A2-0BBB-4DE6-8EDA-6CC3F05203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85DEDC53-A93E-4ADB-9EC2-F69334C80BD2}">
  <ds:schemaRefs/>
</ds:datastoreItem>
</file>

<file path=customXml/itemProps7.xml><?xml version="1.0" encoding="utf-8"?>
<ds:datastoreItem xmlns:ds="http://schemas.openxmlformats.org/officeDocument/2006/customXml" ds:itemID="{5799BB7C-547C-4C15-B61E-BE0A69226E01}">
  <ds:schemaRefs/>
</ds:datastoreItem>
</file>

<file path=customXml/itemProps8.xml><?xml version="1.0" encoding="utf-8"?>
<ds:datastoreItem xmlns:ds="http://schemas.openxmlformats.org/officeDocument/2006/customXml" ds:itemID="{55AD161E-0D0E-4E65-A602-5DBBCBB4B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7902</Words>
  <Characters>45044</Characters>
  <Application>Microsoft Office Word</Application>
  <DocSecurity>0</DocSecurity>
  <PresentationFormat>Microsoft Word 14.0</PresentationFormat>
  <Lines>375</Lines>
  <Paragraphs>105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2026-07-12T22:05:00Z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2026-07-11T19:05:23Z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edee1779-671d-4b7e-8cc1-b024aa679a94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